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2CA636B" w:rsidR="002139F9" w:rsidRDefault="00B318FB">
      <w:pPr>
        <w:spacing w:line="360" w:lineRule="auto"/>
        <w:rPr>
          <w:rFonts w:ascii="Calibri" w:eastAsia="Calibri" w:hAnsi="Calibri" w:cs="Calibri"/>
          <w:b/>
          <w:color w:val="000000"/>
          <w:sz w:val="22"/>
          <w:szCs w:val="22"/>
        </w:rPr>
        <w:sectPr w:rsidR="002139F9">
          <w:footerReference w:type="even" r:id="rId7"/>
          <w:footerReference w:type="default" r:id="rId8"/>
          <w:pgSz w:w="11906" w:h="16838"/>
          <w:pgMar w:top="1440" w:right="1440" w:bottom="1440" w:left="1440" w:header="708" w:footer="708" w:gutter="0"/>
          <w:pgNumType w:start="1"/>
          <w:cols w:space="720"/>
        </w:sectPr>
      </w:pPr>
      <w:r>
        <w:rPr>
          <w:rFonts w:ascii="Calibri" w:eastAsia="Calibri" w:hAnsi="Calibri" w:cs="Calibri"/>
          <w:b/>
          <w:color w:val="000000"/>
          <w:sz w:val="22"/>
          <w:szCs w:val="22"/>
        </w:rPr>
        <w:t>Received by the representatives of the:</w:t>
      </w:r>
    </w:p>
    <w:p w14:paraId="00000002" w14:textId="77777777" w:rsidR="002139F9" w:rsidRDefault="00000000">
      <w:pPr>
        <w:ind w:left="360"/>
        <w:rPr>
          <w:rFonts w:ascii="Calibri" w:eastAsia="Calibri" w:hAnsi="Calibri" w:cs="Calibri"/>
          <w:color w:val="000000"/>
          <w:sz w:val="20"/>
          <w:szCs w:val="20"/>
        </w:rPr>
      </w:pPr>
      <w:r>
        <w:rPr>
          <w:rFonts w:ascii="Calibri" w:eastAsia="Calibri" w:hAnsi="Calibri" w:cs="Calibri"/>
          <w:color w:val="000000"/>
          <w:sz w:val="20"/>
          <w:szCs w:val="20"/>
        </w:rPr>
        <w:t>Association for the Wellbeing of Children in Healthcare</w:t>
      </w:r>
    </w:p>
    <w:p w14:paraId="00000003" w14:textId="77777777" w:rsidR="002139F9" w:rsidRDefault="00000000">
      <w:pPr>
        <w:ind w:left="360"/>
        <w:rPr>
          <w:rFonts w:ascii="Calibri" w:eastAsia="Calibri" w:hAnsi="Calibri" w:cs="Calibri"/>
          <w:color w:val="000000"/>
          <w:sz w:val="20"/>
          <w:szCs w:val="20"/>
        </w:rPr>
      </w:pPr>
      <w:r>
        <w:rPr>
          <w:rFonts w:ascii="Calibri" w:eastAsia="Calibri" w:hAnsi="Calibri" w:cs="Calibri"/>
          <w:color w:val="000000"/>
          <w:sz w:val="20"/>
          <w:szCs w:val="20"/>
        </w:rPr>
        <w:t>Australasian Association for Clinical Biochemistry and Laboratory Medicine</w:t>
      </w:r>
    </w:p>
    <w:p w14:paraId="00000004" w14:textId="77777777" w:rsidR="002139F9" w:rsidRDefault="00000000">
      <w:pPr>
        <w:ind w:left="360"/>
        <w:rPr>
          <w:rFonts w:ascii="Calibri" w:eastAsia="Calibri" w:hAnsi="Calibri" w:cs="Calibri"/>
          <w:color w:val="000000"/>
          <w:sz w:val="20"/>
          <w:szCs w:val="20"/>
        </w:rPr>
      </w:pPr>
      <w:r>
        <w:rPr>
          <w:rFonts w:ascii="Calibri" w:eastAsia="Calibri" w:hAnsi="Calibri" w:cs="Calibri"/>
          <w:color w:val="000000"/>
          <w:sz w:val="20"/>
          <w:szCs w:val="20"/>
        </w:rPr>
        <w:t>Australasian College for Infection Prevention and Control</w:t>
      </w:r>
    </w:p>
    <w:p w14:paraId="00000005" w14:textId="77777777" w:rsidR="002139F9" w:rsidRDefault="00000000">
      <w:pPr>
        <w:ind w:left="360"/>
        <w:rPr>
          <w:rFonts w:ascii="Calibri" w:eastAsia="Calibri" w:hAnsi="Calibri" w:cs="Calibri"/>
          <w:color w:val="000000"/>
          <w:sz w:val="20"/>
          <w:szCs w:val="20"/>
        </w:rPr>
      </w:pPr>
      <w:r>
        <w:rPr>
          <w:rFonts w:ascii="Calibri" w:eastAsia="Calibri" w:hAnsi="Calibri" w:cs="Calibri"/>
          <w:color w:val="000000"/>
          <w:sz w:val="20"/>
          <w:szCs w:val="20"/>
        </w:rPr>
        <w:t>Australasian College of Cosmetic Surgery and Medicine</w:t>
      </w:r>
    </w:p>
    <w:p w14:paraId="00000006" w14:textId="77777777" w:rsidR="002139F9" w:rsidRDefault="00000000">
      <w:pPr>
        <w:ind w:left="360"/>
        <w:rPr>
          <w:rFonts w:ascii="Calibri" w:eastAsia="Calibri" w:hAnsi="Calibri" w:cs="Calibri"/>
          <w:color w:val="000000"/>
          <w:sz w:val="20"/>
          <w:szCs w:val="20"/>
        </w:rPr>
      </w:pPr>
      <w:r>
        <w:rPr>
          <w:rFonts w:ascii="Calibri" w:eastAsia="Calibri" w:hAnsi="Calibri" w:cs="Calibri"/>
          <w:color w:val="000000"/>
          <w:sz w:val="20"/>
          <w:szCs w:val="20"/>
        </w:rPr>
        <w:t>Australasian College of Podiatric Surgery</w:t>
      </w:r>
    </w:p>
    <w:p w14:paraId="00000007" w14:textId="77777777" w:rsidR="002139F9" w:rsidRDefault="00000000">
      <w:pPr>
        <w:ind w:left="360"/>
        <w:rPr>
          <w:rFonts w:ascii="Calibri" w:eastAsia="Calibri" w:hAnsi="Calibri" w:cs="Calibri"/>
          <w:color w:val="000000"/>
          <w:sz w:val="20"/>
          <w:szCs w:val="20"/>
        </w:rPr>
      </w:pPr>
      <w:r>
        <w:rPr>
          <w:rFonts w:ascii="Calibri" w:eastAsia="Calibri" w:hAnsi="Calibri" w:cs="Calibri"/>
          <w:color w:val="000000"/>
          <w:sz w:val="20"/>
          <w:szCs w:val="20"/>
        </w:rPr>
        <w:t>Australasian College of Sport and Exercise Physicians</w:t>
      </w:r>
    </w:p>
    <w:p w14:paraId="00000008" w14:textId="77777777" w:rsidR="002139F9" w:rsidRDefault="00000000">
      <w:pPr>
        <w:ind w:left="360"/>
        <w:rPr>
          <w:rFonts w:ascii="Calibri" w:eastAsia="Calibri" w:hAnsi="Calibri" w:cs="Calibri"/>
          <w:color w:val="000000"/>
          <w:sz w:val="20"/>
          <w:szCs w:val="20"/>
        </w:rPr>
      </w:pPr>
      <w:r>
        <w:rPr>
          <w:rFonts w:ascii="Calibri" w:eastAsia="Calibri" w:hAnsi="Calibri" w:cs="Calibri"/>
          <w:color w:val="000000"/>
          <w:sz w:val="20"/>
          <w:szCs w:val="20"/>
        </w:rPr>
        <w:t>Australasian Hepatology Association</w:t>
      </w:r>
    </w:p>
    <w:p w14:paraId="00000009" w14:textId="77777777" w:rsidR="002139F9" w:rsidRDefault="00000000">
      <w:pPr>
        <w:ind w:left="360"/>
        <w:rPr>
          <w:rFonts w:ascii="Calibri" w:eastAsia="Calibri" w:hAnsi="Calibri" w:cs="Calibri"/>
          <w:color w:val="000000"/>
          <w:sz w:val="20"/>
          <w:szCs w:val="20"/>
        </w:rPr>
      </w:pPr>
      <w:r>
        <w:rPr>
          <w:rFonts w:ascii="Calibri" w:eastAsia="Calibri" w:hAnsi="Calibri" w:cs="Calibri"/>
          <w:color w:val="000000"/>
          <w:sz w:val="20"/>
          <w:szCs w:val="20"/>
        </w:rPr>
        <w:t>Australasian Neurogastroenterology and Motility Association</w:t>
      </w:r>
    </w:p>
    <w:p w14:paraId="0000000A" w14:textId="77777777" w:rsidR="002139F9" w:rsidRDefault="00000000">
      <w:pPr>
        <w:ind w:left="360"/>
        <w:rPr>
          <w:rFonts w:ascii="Calibri" w:eastAsia="Calibri" w:hAnsi="Calibri" w:cs="Calibri"/>
          <w:color w:val="000000"/>
          <w:sz w:val="20"/>
          <w:szCs w:val="20"/>
        </w:rPr>
      </w:pPr>
      <w:r>
        <w:rPr>
          <w:rFonts w:ascii="Calibri" w:eastAsia="Calibri" w:hAnsi="Calibri" w:cs="Calibri"/>
          <w:color w:val="000000"/>
          <w:sz w:val="20"/>
          <w:szCs w:val="20"/>
        </w:rPr>
        <w:t>Australasian Neuroscience Society</w:t>
      </w:r>
    </w:p>
    <w:p w14:paraId="0000000B" w14:textId="77777777" w:rsidR="002139F9" w:rsidRDefault="00000000">
      <w:pPr>
        <w:ind w:left="360"/>
        <w:rPr>
          <w:rFonts w:ascii="Calibri" w:eastAsia="Calibri" w:hAnsi="Calibri" w:cs="Calibri"/>
          <w:sz w:val="20"/>
          <w:szCs w:val="20"/>
        </w:rPr>
      </w:pPr>
      <w:r>
        <w:rPr>
          <w:rFonts w:ascii="Calibri" w:eastAsia="Calibri" w:hAnsi="Calibri" w:cs="Calibri"/>
          <w:sz w:val="20"/>
          <w:szCs w:val="20"/>
        </w:rPr>
        <w:t>Australasian Paediatric Endocrine Group</w:t>
      </w:r>
    </w:p>
    <w:p w14:paraId="0000000C" w14:textId="77777777" w:rsidR="002139F9" w:rsidRDefault="00000000">
      <w:pPr>
        <w:ind w:left="360"/>
        <w:rPr>
          <w:rFonts w:ascii="Calibri" w:eastAsia="Calibri" w:hAnsi="Calibri" w:cs="Calibri"/>
          <w:color w:val="000000"/>
          <w:sz w:val="20"/>
          <w:szCs w:val="20"/>
          <w:shd w:val="clear" w:color="auto" w:fill="FAFDFD"/>
        </w:rPr>
      </w:pPr>
      <w:r>
        <w:rPr>
          <w:rFonts w:ascii="Calibri" w:eastAsia="Calibri" w:hAnsi="Calibri" w:cs="Calibri"/>
          <w:color w:val="000000"/>
          <w:sz w:val="20"/>
          <w:szCs w:val="20"/>
          <w:shd w:val="clear" w:color="auto" w:fill="FAFDFD"/>
        </w:rPr>
        <w:t>Australasian Pharmaceutical Science Association</w:t>
      </w:r>
    </w:p>
    <w:p w14:paraId="0000000D" w14:textId="77777777" w:rsidR="002139F9" w:rsidRDefault="00000000">
      <w:pPr>
        <w:ind w:left="360"/>
        <w:rPr>
          <w:rFonts w:ascii="Calibri" w:eastAsia="Calibri" w:hAnsi="Calibri" w:cs="Calibri"/>
          <w:color w:val="000000"/>
          <w:sz w:val="20"/>
          <w:szCs w:val="20"/>
        </w:rPr>
      </w:pPr>
      <w:r>
        <w:rPr>
          <w:rFonts w:ascii="Calibri" w:eastAsia="Calibri" w:hAnsi="Calibri" w:cs="Calibri"/>
          <w:color w:val="000000"/>
          <w:sz w:val="20"/>
          <w:szCs w:val="20"/>
        </w:rPr>
        <w:t>Australasian Society of Cataract and Refractive Surgeons</w:t>
      </w:r>
    </w:p>
    <w:p w14:paraId="0000000E" w14:textId="77777777" w:rsidR="002139F9" w:rsidRDefault="00000000">
      <w:pPr>
        <w:ind w:left="360"/>
        <w:rPr>
          <w:rFonts w:ascii="Calibri" w:eastAsia="Calibri" w:hAnsi="Calibri" w:cs="Calibri"/>
          <w:color w:val="000000"/>
          <w:sz w:val="20"/>
          <w:szCs w:val="20"/>
        </w:rPr>
      </w:pPr>
      <w:r>
        <w:rPr>
          <w:rFonts w:ascii="Calibri" w:eastAsia="Calibri" w:hAnsi="Calibri" w:cs="Calibri"/>
          <w:color w:val="000000"/>
          <w:sz w:val="20"/>
          <w:szCs w:val="20"/>
        </w:rPr>
        <w:t>Australasian Society of Clinical and Experimental Pharmacologists and Toxicologists</w:t>
      </w:r>
    </w:p>
    <w:p w14:paraId="0000000F" w14:textId="77777777" w:rsidR="002139F9" w:rsidRDefault="00000000">
      <w:pPr>
        <w:ind w:left="360"/>
        <w:rPr>
          <w:rFonts w:ascii="Calibri" w:eastAsia="Calibri" w:hAnsi="Calibri" w:cs="Calibri"/>
          <w:color w:val="000000"/>
          <w:sz w:val="20"/>
          <w:szCs w:val="20"/>
          <w:shd w:val="clear" w:color="auto" w:fill="FAFAFA"/>
        </w:rPr>
      </w:pPr>
      <w:r>
        <w:rPr>
          <w:rFonts w:ascii="Calibri" w:eastAsia="Calibri" w:hAnsi="Calibri" w:cs="Calibri"/>
          <w:color w:val="000000"/>
          <w:sz w:val="20"/>
          <w:szCs w:val="20"/>
          <w:shd w:val="clear" w:color="auto" w:fill="FAFAFA"/>
        </w:rPr>
        <w:t>Australasian Society of Clinical Immunology and Allergy</w:t>
      </w:r>
    </w:p>
    <w:p w14:paraId="00000010" w14:textId="77777777" w:rsidR="002139F9" w:rsidRDefault="00000000">
      <w:pPr>
        <w:ind w:left="360"/>
        <w:rPr>
          <w:rFonts w:ascii="Calibri" w:eastAsia="Calibri" w:hAnsi="Calibri" w:cs="Calibri"/>
          <w:color w:val="000000"/>
          <w:sz w:val="20"/>
          <w:szCs w:val="20"/>
        </w:rPr>
      </w:pPr>
      <w:r>
        <w:rPr>
          <w:rFonts w:ascii="Calibri" w:eastAsia="Calibri" w:hAnsi="Calibri" w:cs="Calibri"/>
          <w:color w:val="000000"/>
          <w:sz w:val="20"/>
          <w:szCs w:val="20"/>
        </w:rPr>
        <w:t>Australasian Society of Clinical Immunology and Allergy</w:t>
      </w:r>
    </w:p>
    <w:p w14:paraId="00000011" w14:textId="77777777" w:rsidR="002139F9" w:rsidRDefault="00000000">
      <w:pPr>
        <w:ind w:left="360"/>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Australasian Society of Cosmetic Dermatologists</w:t>
      </w:r>
    </w:p>
    <w:p w14:paraId="00000012" w14:textId="77777777" w:rsidR="002139F9" w:rsidRDefault="00000000">
      <w:pPr>
        <w:ind w:left="360"/>
        <w:rPr>
          <w:rFonts w:ascii="Calibri" w:eastAsia="Calibri" w:hAnsi="Calibri" w:cs="Calibri"/>
          <w:sz w:val="20"/>
          <w:szCs w:val="20"/>
        </w:rPr>
      </w:pPr>
      <w:r>
        <w:rPr>
          <w:rFonts w:ascii="Calibri" w:eastAsia="Calibri" w:hAnsi="Calibri" w:cs="Calibri"/>
          <w:sz w:val="20"/>
          <w:szCs w:val="20"/>
        </w:rPr>
        <w:t xml:space="preserve">Australian &amp; New Zealand </w:t>
      </w:r>
      <w:proofErr w:type="spellStart"/>
      <w:r>
        <w:rPr>
          <w:rFonts w:ascii="Calibri" w:eastAsia="Calibri" w:hAnsi="Calibri" w:cs="Calibri"/>
          <w:sz w:val="20"/>
          <w:szCs w:val="20"/>
        </w:rPr>
        <w:t>Childrens</w:t>
      </w:r>
      <w:proofErr w:type="spellEnd"/>
      <w:r>
        <w:rPr>
          <w:rFonts w:ascii="Calibri" w:eastAsia="Calibri" w:hAnsi="Calibri" w:cs="Calibri"/>
          <w:sz w:val="20"/>
          <w:szCs w:val="20"/>
        </w:rPr>
        <w:t xml:space="preserve"> Haematology/Oncology Group </w:t>
      </w:r>
    </w:p>
    <w:p w14:paraId="00000013" w14:textId="77777777" w:rsidR="002139F9" w:rsidRDefault="00000000">
      <w:pPr>
        <w:ind w:left="360"/>
        <w:rPr>
          <w:rFonts w:ascii="Calibri" w:eastAsia="Calibri" w:hAnsi="Calibri" w:cs="Calibri"/>
          <w:color w:val="000000"/>
          <w:sz w:val="20"/>
          <w:szCs w:val="20"/>
        </w:rPr>
      </w:pPr>
      <w:r>
        <w:rPr>
          <w:rFonts w:ascii="Calibri" w:eastAsia="Calibri" w:hAnsi="Calibri" w:cs="Calibri"/>
          <w:color w:val="000000"/>
          <w:sz w:val="20"/>
          <w:szCs w:val="20"/>
        </w:rPr>
        <w:t>Australian and New Zealand College of Anaesthetists &amp; Faculty of Pain Medicine</w:t>
      </w:r>
    </w:p>
    <w:p w14:paraId="00000014" w14:textId="77777777" w:rsidR="002139F9" w:rsidRDefault="00000000">
      <w:pPr>
        <w:ind w:left="360"/>
        <w:rPr>
          <w:rFonts w:ascii="Calibri" w:eastAsia="Calibri" w:hAnsi="Calibri" w:cs="Calibri"/>
          <w:color w:val="000000"/>
          <w:sz w:val="20"/>
          <w:szCs w:val="20"/>
        </w:rPr>
      </w:pPr>
      <w:r>
        <w:rPr>
          <w:rFonts w:ascii="Calibri" w:eastAsia="Calibri" w:hAnsi="Calibri" w:cs="Calibri"/>
          <w:color w:val="000000"/>
          <w:sz w:val="20"/>
          <w:szCs w:val="20"/>
        </w:rPr>
        <w:t>Australian and New Zealand Society for Immunology</w:t>
      </w:r>
    </w:p>
    <w:p w14:paraId="00000015" w14:textId="77777777" w:rsidR="002139F9" w:rsidRDefault="00000000">
      <w:pPr>
        <w:ind w:left="360"/>
        <w:rPr>
          <w:rFonts w:ascii="Calibri" w:eastAsia="Calibri" w:hAnsi="Calibri" w:cs="Calibri"/>
          <w:sz w:val="20"/>
          <w:szCs w:val="20"/>
        </w:rPr>
      </w:pPr>
      <w:r>
        <w:rPr>
          <w:rFonts w:ascii="Calibri" w:eastAsia="Calibri" w:hAnsi="Calibri" w:cs="Calibri"/>
          <w:sz w:val="20"/>
          <w:szCs w:val="20"/>
        </w:rPr>
        <w:t>Australian and New Zealand Society of Paediatric Dentistry</w:t>
      </w:r>
    </w:p>
    <w:p w14:paraId="00000016" w14:textId="77777777" w:rsidR="002139F9" w:rsidRDefault="00000000">
      <w:pPr>
        <w:ind w:left="360"/>
        <w:rPr>
          <w:rFonts w:ascii="Calibri" w:eastAsia="Calibri" w:hAnsi="Calibri" w:cs="Calibri"/>
          <w:sz w:val="20"/>
          <w:szCs w:val="20"/>
        </w:rPr>
      </w:pPr>
      <w:r>
        <w:rPr>
          <w:rFonts w:ascii="Calibri" w:eastAsia="Calibri" w:hAnsi="Calibri" w:cs="Calibri"/>
          <w:sz w:val="20"/>
          <w:szCs w:val="20"/>
        </w:rPr>
        <w:t>Australian and New Zealand Society of Paediatric Otorhinolaryngology</w:t>
      </w:r>
    </w:p>
    <w:p w14:paraId="00000017" w14:textId="77777777" w:rsidR="002139F9" w:rsidRDefault="00000000">
      <w:pPr>
        <w:ind w:left="360"/>
        <w:rPr>
          <w:rFonts w:ascii="Calibri" w:eastAsia="Calibri" w:hAnsi="Calibri" w:cs="Calibri"/>
          <w:color w:val="000000"/>
          <w:sz w:val="20"/>
          <w:szCs w:val="20"/>
        </w:rPr>
      </w:pPr>
      <w:r>
        <w:rPr>
          <w:rFonts w:ascii="Calibri" w:eastAsia="Calibri" w:hAnsi="Calibri" w:cs="Calibri"/>
          <w:color w:val="000000"/>
          <w:sz w:val="20"/>
          <w:szCs w:val="20"/>
        </w:rPr>
        <w:t>Australian Chinese Medical Association</w:t>
      </w:r>
    </w:p>
    <w:p w14:paraId="00000018" w14:textId="77777777" w:rsidR="002139F9" w:rsidRDefault="00000000">
      <w:pPr>
        <w:ind w:left="360"/>
        <w:rPr>
          <w:rFonts w:ascii="Calibri" w:eastAsia="Calibri" w:hAnsi="Calibri" w:cs="Calibri"/>
          <w:color w:val="000000"/>
          <w:sz w:val="20"/>
          <w:szCs w:val="20"/>
        </w:rPr>
      </w:pPr>
      <w:r>
        <w:rPr>
          <w:rFonts w:ascii="Calibri" w:eastAsia="Calibri" w:hAnsi="Calibri" w:cs="Calibri"/>
          <w:color w:val="000000"/>
          <w:sz w:val="20"/>
          <w:szCs w:val="20"/>
        </w:rPr>
        <w:t>Australian Chiropractors Association</w:t>
      </w:r>
    </w:p>
    <w:p w14:paraId="00000019" w14:textId="77777777" w:rsidR="002139F9" w:rsidRDefault="00000000">
      <w:pPr>
        <w:ind w:left="360"/>
        <w:rPr>
          <w:rFonts w:ascii="Calibri" w:eastAsia="Calibri" w:hAnsi="Calibri" w:cs="Calibri"/>
          <w:color w:val="000000"/>
          <w:sz w:val="20"/>
          <w:szCs w:val="20"/>
        </w:rPr>
      </w:pPr>
      <w:r>
        <w:rPr>
          <w:rFonts w:ascii="Calibri" w:eastAsia="Calibri" w:hAnsi="Calibri" w:cs="Calibri"/>
          <w:color w:val="000000"/>
          <w:sz w:val="20"/>
          <w:szCs w:val="20"/>
        </w:rPr>
        <w:t>Australian College for Emergency Medicine</w:t>
      </w:r>
    </w:p>
    <w:p w14:paraId="0000001A" w14:textId="77777777" w:rsidR="002139F9" w:rsidRDefault="00000000">
      <w:pPr>
        <w:ind w:left="360"/>
        <w:rPr>
          <w:rFonts w:ascii="Calibri" w:eastAsia="Calibri" w:hAnsi="Calibri" w:cs="Calibri"/>
          <w:sz w:val="20"/>
          <w:szCs w:val="20"/>
        </w:rPr>
      </w:pPr>
      <w:r>
        <w:rPr>
          <w:rFonts w:ascii="Calibri" w:eastAsia="Calibri" w:hAnsi="Calibri" w:cs="Calibri"/>
          <w:sz w:val="20"/>
          <w:szCs w:val="20"/>
        </w:rPr>
        <w:t>Australian College of Children &amp; Young Peoples’ Nurses</w:t>
      </w:r>
    </w:p>
    <w:p w14:paraId="0000001B" w14:textId="77777777" w:rsidR="002139F9" w:rsidRDefault="00000000">
      <w:pPr>
        <w:ind w:left="360"/>
        <w:rPr>
          <w:rFonts w:ascii="Calibri" w:eastAsia="Calibri" w:hAnsi="Calibri" w:cs="Calibri"/>
          <w:color w:val="000000"/>
          <w:sz w:val="20"/>
          <w:szCs w:val="20"/>
        </w:rPr>
      </w:pPr>
      <w:r>
        <w:rPr>
          <w:rFonts w:ascii="Calibri" w:eastAsia="Calibri" w:hAnsi="Calibri" w:cs="Calibri"/>
          <w:color w:val="000000"/>
          <w:sz w:val="20"/>
          <w:szCs w:val="20"/>
        </w:rPr>
        <w:t>Australian College of Nursing</w:t>
      </w:r>
    </w:p>
    <w:p w14:paraId="0000001C" w14:textId="77777777" w:rsidR="002139F9" w:rsidRDefault="00000000">
      <w:pPr>
        <w:ind w:left="360"/>
        <w:rPr>
          <w:rFonts w:ascii="Calibri" w:eastAsia="Calibri" w:hAnsi="Calibri" w:cs="Calibri"/>
          <w:color w:val="000000"/>
          <w:sz w:val="20"/>
          <w:szCs w:val="20"/>
        </w:rPr>
      </w:pPr>
      <w:r>
        <w:rPr>
          <w:rFonts w:ascii="Calibri" w:eastAsia="Calibri" w:hAnsi="Calibri" w:cs="Calibri"/>
          <w:color w:val="000000"/>
          <w:sz w:val="20"/>
          <w:szCs w:val="20"/>
        </w:rPr>
        <w:t>Australian Dental Association</w:t>
      </w:r>
    </w:p>
    <w:p w14:paraId="0000001D" w14:textId="77777777" w:rsidR="002139F9" w:rsidRDefault="00000000">
      <w:pPr>
        <w:ind w:left="360"/>
        <w:rPr>
          <w:rFonts w:ascii="Calibri" w:eastAsia="Calibri" w:hAnsi="Calibri" w:cs="Calibri"/>
          <w:color w:val="000000"/>
          <w:sz w:val="20"/>
          <w:szCs w:val="20"/>
        </w:rPr>
      </w:pPr>
      <w:r>
        <w:rPr>
          <w:rFonts w:ascii="Calibri" w:eastAsia="Calibri" w:hAnsi="Calibri" w:cs="Calibri"/>
          <w:color w:val="000000"/>
          <w:sz w:val="20"/>
          <w:szCs w:val="20"/>
        </w:rPr>
        <w:t>Australian Medical Association</w:t>
      </w:r>
    </w:p>
    <w:p w14:paraId="0000001E" w14:textId="77777777" w:rsidR="002139F9" w:rsidRDefault="00000000">
      <w:pPr>
        <w:ind w:left="360"/>
        <w:rPr>
          <w:rFonts w:ascii="Calibri" w:eastAsia="Calibri" w:hAnsi="Calibri" w:cs="Calibri"/>
          <w:color w:val="000000"/>
          <w:sz w:val="20"/>
          <w:szCs w:val="20"/>
        </w:rPr>
      </w:pPr>
      <w:r>
        <w:rPr>
          <w:rFonts w:ascii="Calibri" w:eastAsia="Calibri" w:hAnsi="Calibri" w:cs="Calibri"/>
          <w:color w:val="000000"/>
          <w:sz w:val="20"/>
          <w:szCs w:val="20"/>
        </w:rPr>
        <w:t>Australian Nursing and Midwifery Federation</w:t>
      </w:r>
    </w:p>
    <w:p w14:paraId="0000001F" w14:textId="77777777" w:rsidR="002139F9" w:rsidRDefault="00000000">
      <w:pPr>
        <w:ind w:left="360"/>
        <w:rPr>
          <w:rFonts w:ascii="Calibri" w:eastAsia="Calibri" w:hAnsi="Calibri" w:cs="Calibri"/>
          <w:sz w:val="20"/>
          <w:szCs w:val="20"/>
        </w:rPr>
      </w:pPr>
      <w:r>
        <w:rPr>
          <w:rFonts w:ascii="Calibri" w:eastAsia="Calibri" w:hAnsi="Calibri" w:cs="Calibri"/>
          <w:sz w:val="20"/>
          <w:szCs w:val="20"/>
        </w:rPr>
        <w:t>Australian Paediatric Orthopaedic Society</w:t>
      </w:r>
    </w:p>
    <w:p w14:paraId="00000020" w14:textId="77777777" w:rsidR="002139F9" w:rsidRDefault="00000000">
      <w:pPr>
        <w:ind w:left="360"/>
        <w:rPr>
          <w:rFonts w:ascii="Calibri" w:eastAsia="Calibri" w:hAnsi="Calibri" w:cs="Calibri"/>
          <w:color w:val="000000"/>
          <w:sz w:val="20"/>
          <w:szCs w:val="20"/>
        </w:rPr>
      </w:pPr>
      <w:r>
        <w:rPr>
          <w:rFonts w:ascii="Calibri" w:eastAsia="Calibri" w:hAnsi="Calibri" w:cs="Calibri"/>
          <w:color w:val="000000"/>
          <w:sz w:val="20"/>
          <w:szCs w:val="20"/>
        </w:rPr>
        <w:t>Australian Paediatric Society</w:t>
      </w:r>
    </w:p>
    <w:p w14:paraId="00000021" w14:textId="77777777" w:rsidR="002139F9" w:rsidRDefault="00000000">
      <w:pPr>
        <w:ind w:left="360"/>
        <w:rPr>
          <w:rFonts w:ascii="Calibri" w:eastAsia="Calibri" w:hAnsi="Calibri" w:cs="Calibri"/>
          <w:color w:val="000000"/>
          <w:sz w:val="20"/>
          <w:szCs w:val="20"/>
        </w:rPr>
      </w:pPr>
      <w:r>
        <w:rPr>
          <w:rFonts w:ascii="Calibri" w:eastAsia="Calibri" w:hAnsi="Calibri" w:cs="Calibri"/>
          <w:color w:val="000000"/>
          <w:sz w:val="20"/>
          <w:szCs w:val="20"/>
        </w:rPr>
        <w:t>Australian Paramedics Association (NSW)</w:t>
      </w:r>
    </w:p>
    <w:p w14:paraId="00000022" w14:textId="77777777" w:rsidR="002139F9" w:rsidRDefault="00000000">
      <w:pPr>
        <w:ind w:left="360"/>
        <w:rPr>
          <w:rFonts w:ascii="Calibri" w:eastAsia="Calibri" w:hAnsi="Calibri" w:cs="Calibri"/>
          <w:color w:val="000000"/>
          <w:sz w:val="20"/>
          <w:szCs w:val="20"/>
        </w:rPr>
      </w:pPr>
      <w:r>
        <w:rPr>
          <w:rFonts w:ascii="Calibri" w:eastAsia="Calibri" w:hAnsi="Calibri" w:cs="Calibri"/>
          <w:color w:val="000000"/>
          <w:sz w:val="20"/>
          <w:szCs w:val="20"/>
        </w:rPr>
        <w:t>Australian Paramedics Association (QLD)</w:t>
      </w:r>
    </w:p>
    <w:p w14:paraId="00000023" w14:textId="77777777" w:rsidR="002139F9" w:rsidRDefault="00000000">
      <w:pPr>
        <w:ind w:left="360"/>
        <w:rPr>
          <w:rFonts w:ascii="Calibri" w:eastAsia="Calibri" w:hAnsi="Calibri" w:cs="Calibri"/>
          <w:color w:val="000000"/>
          <w:sz w:val="20"/>
          <w:szCs w:val="20"/>
        </w:rPr>
      </w:pPr>
      <w:r>
        <w:rPr>
          <w:rFonts w:ascii="Calibri" w:eastAsia="Calibri" w:hAnsi="Calibri" w:cs="Calibri"/>
          <w:color w:val="000000"/>
          <w:sz w:val="20"/>
          <w:szCs w:val="20"/>
        </w:rPr>
        <w:t>Australian Paramedics Association (TAS)</w:t>
      </w:r>
    </w:p>
    <w:p w14:paraId="00000024" w14:textId="77777777" w:rsidR="002139F9" w:rsidRDefault="00000000">
      <w:pPr>
        <w:ind w:left="360"/>
        <w:rPr>
          <w:rFonts w:ascii="Calibri" w:eastAsia="Calibri" w:hAnsi="Calibri" w:cs="Calibri"/>
          <w:color w:val="000000"/>
          <w:sz w:val="20"/>
          <w:szCs w:val="20"/>
        </w:rPr>
      </w:pPr>
      <w:r>
        <w:rPr>
          <w:rFonts w:ascii="Calibri" w:eastAsia="Calibri" w:hAnsi="Calibri" w:cs="Calibri"/>
          <w:color w:val="000000"/>
          <w:sz w:val="20"/>
          <w:szCs w:val="20"/>
        </w:rPr>
        <w:t>Australian Paramedics Association (VIC)</w:t>
      </w:r>
    </w:p>
    <w:p w14:paraId="00000025" w14:textId="77777777" w:rsidR="002139F9" w:rsidRDefault="00000000">
      <w:pPr>
        <w:ind w:left="360"/>
        <w:rPr>
          <w:rFonts w:ascii="Calibri" w:eastAsia="Calibri" w:hAnsi="Calibri" w:cs="Calibri"/>
          <w:color w:val="000000"/>
          <w:sz w:val="20"/>
          <w:szCs w:val="20"/>
          <w:shd w:val="clear" w:color="auto" w:fill="FAFBFC"/>
        </w:rPr>
      </w:pPr>
      <w:r>
        <w:rPr>
          <w:rFonts w:ascii="Calibri" w:eastAsia="Calibri" w:hAnsi="Calibri" w:cs="Calibri"/>
          <w:color w:val="000000"/>
          <w:sz w:val="20"/>
          <w:szCs w:val="20"/>
          <w:shd w:val="clear" w:color="auto" w:fill="FAFBFC"/>
        </w:rPr>
        <w:t>Australian Pharmaceutical medical and scientific Professionals Association</w:t>
      </w:r>
    </w:p>
    <w:p w14:paraId="00000026" w14:textId="77777777" w:rsidR="002139F9" w:rsidRDefault="00000000">
      <w:pPr>
        <w:ind w:left="360"/>
        <w:rPr>
          <w:rFonts w:ascii="Calibri" w:eastAsia="Calibri" w:hAnsi="Calibri" w:cs="Calibri"/>
          <w:color w:val="000000"/>
          <w:sz w:val="20"/>
          <w:szCs w:val="20"/>
        </w:rPr>
      </w:pPr>
      <w:r>
        <w:rPr>
          <w:rFonts w:ascii="Calibri" w:eastAsia="Calibri" w:hAnsi="Calibri" w:cs="Calibri"/>
          <w:color w:val="000000"/>
          <w:sz w:val="20"/>
          <w:szCs w:val="20"/>
        </w:rPr>
        <w:t>Australian Physiotherapy Association</w:t>
      </w:r>
    </w:p>
    <w:p w14:paraId="00000027" w14:textId="77777777" w:rsidR="002139F9" w:rsidRDefault="00000000">
      <w:pPr>
        <w:ind w:left="360"/>
        <w:rPr>
          <w:rFonts w:ascii="Calibri" w:eastAsia="Calibri" w:hAnsi="Calibri" w:cs="Calibri"/>
          <w:color w:val="000000"/>
          <w:sz w:val="20"/>
          <w:szCs w:val="20"/>
        </w:rPr>
      </w:pPr>
      <w:r>
        <w:rPr>
          <w:rFonts w:ascii="Calibri" w:eastAsia="Calibri" w:hAnsi="Calibri" w:cs="Calibri"/>
          <w:color w:val="000000"/>
          <w:sz w:val="20"/>
          <w:szCs w:val="20"/>
        </w:rPr>
        <w:t>Australian Podiatry Association</w:t>
      </w:r>
    </w:p>
    <w:p w14:paraId="00000028" w14:textId="77777777" w:rsidR="002139F9" w:rsidRDefault="00000000">
      <w:pPr>
        <w:ind w:left="360"/>
        <w:rPr>
          <w:rFonts w:ascii="Calibri" w:eastAsia="Calibri" w:hAnsi="Calibri" w:cs="Calibri"/>
          <w:color w:val="000000"/>
          <w:sz w:val="20"/>
          <w:szCs w:val="20"/>
        </w:rPr>
      </w:pPr>
      <w:r>
        <w:rPr>
          <w:rFonts w:ascii="Calibri" w:eastAsia="Calibri" w:hAnsi="Calibri" w:cs="Calibri"/>
          <w:color w:val="000000"/>
          <w:sz w:val="20"/>
          <w:szCs w:val="20"/>
        </w:rPr>
        <w:t>Australian Primary Health Care Nurses Association</w:t>
      </w:r>
    </w:p>
    <w:p w14:paraId="00000029" w14:textId="77777777" w:rsidR="002139F9" w:rsidRDefault="00000000">
      <w:pPr>
        <w:ind w:left="360"/>
        <w:rPr>
          <w:rFonts w:ascii="Calibri" w:eastAsia="Calibri" w:hAnsi="Calibri" w:cs="Calibri"/>
          <w:color w:val="000000"/>
          <w:sz w:val="20"/>
          <w:szCs w:val="20"/>
        </w:rPr>
      </w:pPr>
      <w:r>
        <w:rPr>
          <w:rFonts w:ascii="Calibri" w:eastAsia="Calibri" w:hAnsi="Calibri" w:cs="Calibri"/>
          <w:color w:val="000000"/>
          <w:sz w:val="20"/>
          <w:szCs w:val="20"/>
        </w:rPr>
        <w:t>Australian Psychological Society</w:t>
      </w:r>
    </w:p>
    <w:p w14:paraId="0000002A" w14:textId="77777777" w:rsidR="002139F9" w:rsidRDefault="00000000">
      <w:pPr>
        <w:ind w:left="360"/>
        <w:rPr>
          <w:rFonts w:ascii="Calibri" w:eastAsia="Calibri" w:hAnsi="Calibri" w:cs="Calibri"/>
          <w:color w:val="000000"/>
          <w:sz w:val="20"/>
          <w:szCs w:val="20"/>
        </w:rPr>
      </w:pPr>
      <w:r>
        <w:rPr>
          <w:rFonts w:ascii="Calibri" w:eastAsia="Calibri" w:hAnsi="Calibri" w:cs="Calibri"/>
          <w:color w:val="000000"/>
          <w:sz w:val="20"/>
          <w:szCs w:val="20"/>
        </w:rPr>
        <w:t>Australian Society for Biochemistry and Molecular Biology</w:t>
      </w:r>
    </w:p>
    <w:p w14:paraId="0000002B" w14:textId="77777777" w:rsidR="002139F9" w:rsidRDefault="00000000">
      <w:pPr>
        <w:ind w:left="360"/>
        <w:rPr>
          <w:rFonts w:ascii="Calibri" w:eastAsia="Calibri" w:hAnsi="Calibri" w:cs="Calibri"/>
          <w:color w:val="000000"/>
          <w:sz w:val="20"/>
          <w:szCs w:val="20"/>
        </w:rPr>
      </w:pPr>
      <w:r>
        <w:rPr>
          <w:rFonts w:ascii="Calibri" w:eastAsia="Calibri" w:hAnsi="Calibri" w:cs="Calibri"/>
          <w:color w:val="000000"/>
          <w:sz w:val="20"/>
          <w:szCs w:val="20"/>
        </w:rPr>
        <w:t>Australian Society of Medical Imaging and Radiation Therapy</w:t>
      </w:r>
    </w:p>
    <w:p w14:paraId="0000002C" w14:textId="77777777" w:rsidR="002139F9" w:rsidRDefault="00000000">
      <w:pPr>
        <w:ind w:left="360"/>
        <w:rPr>
          <w:rFonts w:ascii="Calibri" w:eastAsia="Calibri" w:hAnsi="Calibri" w:cs="Calibri"/>
          <w:sz w:val="20"/>
          <w:szCs w:val="20"/>
        </w:rPr>
      </w:pPr>
      <w:r>
        <w:rPr>
          <w:rFonts w:ascii="Calibri" w:eastAsia="Calibri" w:hAnsi="Calibri" w:cs="Calibri"/>
          <w:sz w:val="20"/>
          <w:szCs w:val="20"/>
        </w:rPr>
        <w:t>Children’s Healthcare Australasia</w:t>
      </w:r>
    </w:p>
    <w:p w14:paraId="0000002D" w14:textId="77777777" w:rsidR="002139F9" w:rsidRDefault="00000000">
      <w:pPr>
        <w:ind w:left="360"/>
        <w:rPr>
          <w:rFonts w:ascii="Calibri" w:eastAsia="Calibri" w:hAnsi="Calibri" w:cs="Calibri"/>
          <w:color w:val="000000"/>
          <w:sz w:val="20"/>
          <w:szCs w:val="20"/>
        </w:rPr>
      </w:pPr>
      <w:r>
        <w:rPr>
          <w:rFonts w:ascii="Calibri" w:eastAsia="Calibri" w:hAnsi="Calibri" w:cs="Calibri"/>
          <w:color w:val="000000"/>
          <w:sz w:val="20"/>
          <w:szCs w:val="20"/>
        </w:rPr>
        <w:t>Indigenous Allied Health Australia</w:t>
      </w:r>
    </w:p>
    <w:p w14:paraId="0000002E" w14:textId="77777777" w:rsidR="002139F9" w:rsidRDefault="00000000">
      <w:pPr>
        <w:ind w:left="360"/>
        <w:rPr>
          <w:rFonts w:ascii="Calibri" w:eastAsia="Calibri" w:hAnsi="Calibri" w:cs="Calibri"/>
          <w:sz w:val="20"/>
          <w:szCs w:val="20"/>
        </w:rPr>
      </w:pPr>
      <w:r>
        <w:rPr>
          <w:rFonts w:ascii="Calibri" w:eastAsia="Calibri" w:hAnsi="Calibri" w:cs="Calibri"/>
          <w:sz w:val="20"/>
          <w:szCs w:val="20"/>
        </w:rPr>
        <w:t>Maternal, Child and Family Health Nurses Australia</w:t>
      </w:r>
    </w:p>
    <w:p w14:paraId="0000002F" w14:textId="77777777" w:rsidR="002139F9" w:rsidRDefault="00000000">
      <w:pPr>
        <w:ind w:left="360"/>
        <w:rPr>
          <w:rFonts w:ascii="Calibri" w:eastAsia="Calibri" w:hAnsi="Calibri" w:cs="Calibri"/>
          <w:color w:val="000000"/>
          <w:sz w:val="20"/>
          <w:szCs w:val="20"/>
        </w:rPr>
      </w:pPr>
      <w:r>
        <w:rPr>
          <w:rFonts w:ascii="Calibri" w:eastAsia="Calibri" w:hAnsi="Calibri" w:cs="Calibri"/>
          <w:color w:val="000000"/>
          <w:sz w:val="20"/>
          <w:szCs w:val="20"/>
        </w:rPr>
        <w:t>National Aboriginal Community Controlled Health Organisation</w:t>
      </w:r>
    </w:p>
    <w:p w14:paraId="00000030" w14:textId="77777777" w:rsidR="002139F9" w:rsidRDefault="00000000">
      <w:pPr>
        <w:ind w:left="360"/>
        <w:rPr>
          <w:rFonts w:ascii="Calibri" w:eastAsia="Calibri" w:hAnsi="Calibri" w:cs="Calibri"/>
          <w:sz w:val="20"/>
          <w:szCs w:val="20"/>
        </w:rPr>
      </w:pPr>
      <w:r>
        <w:rPr>
          <w:rFonts w:ascii="Calibri" w:eastAsia="Calibri" w:hAnsi="Calibri" w:cs="Calibri"/>
          <w:sz w:val="20"/>
          <w:szCs w:val="20"/>
        </w:rPr>
        <w:t>Neurodevelopmental and Behavioural Society of Australasia</w:t>
      </w:r>
    </w:p>
    <w:p w14:paraId="00000031" w14:textId="77777777" w:rsidR="002139F9" w:rsidRDefault="00000000">
      <w:pPr>
        <w:ind w:left="360"/>
        <w:rPr>
          <w:rFonts w:ascii="Calibri" w:eastAsia="Calibri" w:hAnsi="Calibri" w:cs="Calibri"/>
          <w:color w:val="000000"/>
          <w:sz w:val="20"/>
          <w:szCs w:val="20"/>
        </w:rPr>
      </w:pPr>
      <w:r>
        <w:rPr>
          <w:rFonts w:ascii="Calibri" w:eastAsia="Calibri" w:hAnsi="Calibri" w:cs="Calibri"/>
          <w:color w:val="000000"/>
          <w:sz w:val="20"/>
          <w:szCs w:val="20"/>
        </w:rPr>
        <w:t>NSW Nurses and Midwives' Association</w:t>
      </w:r>
    </w:p>
    <w:p w14:paraId="00000032" w14:textId="77777777" w:rsidR="002139F9" w:rsidRDefault="00000000">
      <w:pPr>
        <w:ind w:left="360"/>
        <w:rPr>
          <w:rFonts w:ascii="Calibri" w:eastAsia="Calibri" w:hAnsi="Calibri" w:cs="Calibri"/>
          <w:color w:val="000000"/>
          <w:sz w:val="20"/>
          <w:szCs w:val="20"/>
        </w:rPr>
      </w:pPr>
      <w:r>
        <w:rPr>
          <w:rFonts w:ascii="Calibri" w:eastAsia="Calibri" w:hAnsi="Calibri" w:cs="Calibri"/>
          <w:color w:val="000000"/>
          <w:sz w:val="20"/>
          <w:szCs w:val="20"/>
        </w:rPr>
        <w:t>Occupational Therapy Australia</w:t>
      </w:r>
    </w:p>
    <w:p w14:paraId="00000033" w14:textId="77777777" w:rsidR="002139F9" w:rsidRDefault="00000000">
      <w:pPr>
        <w:ind w:left="360"/>
        <w:rPr>
          <w:rFonts w:ascii="Calibri" w:eastAsia="Calibri" w:hAnsi="Calibri" w:cs="Calibri"/>
          <w:color w:val="000000"/>
          <w:sz w:val="20"/>
          <w:szCs w:val="20"/>
        </w:rPr>
      </w:pPr>
      <w:r>
        <w:rPr>
          <w:rFonts w:ascii="Calibri" w:eastAsia="Calibri" w:hAnsi="Calibri" w:cs="Calibri"/>
          <w:color w:val="000000"/>
          <w:sz w:val="20"/>
          <w:szCs w:val="20"/>
        </w:rPr>
        <w:t>Optometry Australia</w:t>
      </w:r>
    </w:p>
    <w:p w14:paraId="00000034" w14:textId="77777777" w:rsidR="002139F9" w:rsidRDefault="00000000">
      <w:pPr>
        <w:ind w:left="360"/>
        <w:rPr>
          <w:rFonts w:ascii="Calibri" w:eastAsia="Calibri" w:hAnsi="Calibri" w:cs="Calibri"/>
          <w:color w:val="000000"/>
          <w:sz w:val="20"/>
          <w:szCs w:val="20"/>
        </w:rPr>
      </w:pPr>
      <w:r>
        <w:rPr>
          <w:rFonts w:ascii="Calibri" w:eastAsia="Calibri" w:hAnsi="Calibri" w:cs="Calibri"/>
          <w:color w:val="000000"/>
          <w:sz w:val="20"/>
          <w:szCs w:val="20"/>
        </w:rPr>
        <w:t>Osteopathy Australia</w:t>
      </w:r>
    </w:p>
    <w:p w14:paraId="00000035" w14:textId="77777777" w:rsidR="002139F9" w:rsidRDefault="00000000">
      <w:pPr>
        <w:ind w:left="360"/>
        <w:rPr>
          <w:rFonts w:ascii="Calibri" w:eastAsia="Calibri" w:hAnsi="Calibri" w:cs="Calibri"/>
          <w:color w:val="000000"/>
          <w:sz w:val="20"/>
          <w:szCs w:val="20"/>
        </w:rPr>
      </w:pPr>
      <w:r>
        <w:rPr>
          <w:rFonts w:ascii="Calibri" w:eastAsia="Calibri" w:hAnsi="Calibri" w:cs="Calibri"/>
          <w:color w:val="000000"/>
          <w:sz w:val="20"/>
          <w:szCs w:val="20"/>
        </w:rPr>
        <w:t>Pharmaceutical Society of Australia</w:t>
      </w:r>
    </w:p>
    <w:p w14:paraId="00000036" w14:textId="77777777" w:rsidR="002139F9" w:rsidRDefault="00000000">
      <w:pPr>
        <w:ind w:left="360"/>
        <w:rPr>
          <w:rFonts w:ascii="Calibri" w:eastAsia="Calibri" w:hAnsi="Calibri" w:cs="Calibri"/>
          <w:color w:val="000000"/>
          <w:sz w:val="20"/>
          <w:szCs w:val="20"/>
        </w:rPr>
      </w:pPr>
      <w:r>
        <w:rPr>
          <w:rFonts w:ascii="Calibri" w:eastAsia="Calibri" w:hAnsi="Calibri" w:cs="Calibri"/>
          <w:color w:val="000000"/>
          <w:sz w:val="20"/>
          <w:szCs w:val="20"/>
        </w:rPr>
        <w:t>Royal Australasian College of Dental Surgeons</w:t>
      </w:r>
    </w:p>
    <w:p w14:paraId="00000037" w14:textId="77777777" w:rsidR="002139F9" w:rsidRDefault="00000000">
      <w:pPr>
        <w:ind w:left="360"/>
        <w:rPr>
          <w:rFonts w:ascii="Calibri" w:eastAsia="Calibri" w:hAnsi="Calibri" w:cs="Calibri"/>
          <w:color w:val="000000"/>
          <w:sz w:val="20"/>
          <w:szCs w:val="20"/>
        </w:rPr>
      </w:pPr>
      <w:r>
        <w:rPr>
          <w:rFonts w:ascii="Calibri" w:eastAsia="Calibri" w:hAnsi="Calibri" w:cs="Calibri"/>
          <w:color w:val="000000"/>
          <w:sz w:val="20"/>
          <w:szCs w:val="20"/>
        </w:rPr>
        <w:t>Royal Australasian College of Surgeons</w:t>
      </w:r>
    </w:p>
    <w:p w14:paraId="00000038" w14:textId="77777777" w:rsidR="002139F9" w:rsidRDefault="00000000">
      <w:pPr>
        <w:ind w:left="360"/>
        <w:rPr>
          <w:rFonts w:ascii="Calibri" w:eastAsia="Calibri" w:hAnsi="Calibri" w:cs="Calibri"/>
          <w:color w:val="000000"/>
          <w:sz w:val="20"/>
          <w:szCs w:val="20"/>
        </w:rPr>
      </w:pPr>
      <w:r>
        <w:rPr>
          <w:rFonts w:ascii="Calibri" w:eastAsia="Calibri" w:hAnsi="Calibri" w:cs="Calibri"/>
          <w:color w:val="000000"/>
          <w:sz w:val="20"/>
          <w:szCs w:val="20"/>
        </w:rPr>
        <w:t>Society for Paediatric Anaesthesia in New Zealand and Australia</w:t>
      </w:r>
    </w:p>
    <w:p w14:paraId="00000039" w14:textId="77777777" w:rsidR="002139F9" w:rsidRDefault="00000000">
      <w:pPr>
        <w:ind w:left="360"/>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The Australasian Neuroscience Nurses Association</w:t>
      </w:r>
    </w:p>
    <w:p w14:paraId="0000003A" w14:textId="77777777" w:rsidR="002139F9" w:rsidRDefault="00000000">
      <w:pPr>
        <w:ind w:left="360"/>
        <w:rPr>
          <w:rFonts w:ascii="Calibri" w:eastAsia="Calibri" w:hAnsi="Calibri" w:cs="Calibri"/>
          <w:sz w:val="20"/>
          <w:szCs w:val="20"/>
        </w:rPr>
      </w:pPr>
      <w:r>
        <w:rPr>
          <w:rFonts w:ascii="Calibri" w:eastAsia="Calibri" w:hAnsi="Calibri" w:cs="Calibri"/>
          <w:sz w:val="20"/>
          <w:szCs w:val="20"/>
        </w:rPr>
        <w:t>The Australia and New Zealand Child Neurology Society</w:t>
      </w:r>
    </w:p>
    <w:p w14:paraId="0000003B" w14:textId="77777777" w:rsidR="002139F9" w:rsidRDefault="00000000">
      <w:pPr>
        <w:ind w:left="360"/>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The Royal Australasian College of Physicians</w:t>
      </w:r>
    </w:p>
    <w:p w14:paraId="0000003C" w14:textId="77777777" w:rsidR="002139F9" w:rsidRDefault="00000000">
      <w:pPr>
        <w:ind w:left="360"/>
        <w:rPr>
          <w:rFonts w:ascii="Calibri" w:eastAsia="Calibri" w:hAnsi="Calibri" w:cs="Calibri"/>
          <w:color w:val="000000"/>
          <w:sz w:val="20"/>
          <w:szCs w:val="20"/>
        </w:rPr>
      </w:pPr>
      <w:r>
        <w:rPr>
          <w:rFonts w:ascii="Calibri" w:eastAsia="Calibri" w:hAnsi="Calibri" w:cs="Calibri"/>
          <w:color w:val="000000"/>
          <w:sz w:val="20"/>
          <w:szCs w:val="20"/>
        </w:rPr>
        <w:t>The Royal Australian and New Zealand College of Obstetricians and Gynaecologists</w:t>
      </w:r>
    </w:p>
    <w:p w14:paraId="0000003D" w14:textId="77777777" w:rsidR="002139F9" w:rsidRDefault="00000000">
      <w:pPr>
        <w:ind w:left="360"/>
        <w:rPr>
          <w:rFonts w:ascii="Calibri" w:eastAsia="Calibri" w:hAnsi="Calibri" w:cs="Calibri"/>
          <w:color w:val="000000"/>
          <w:sz w:val="20"/>
          <w:szCs w:val="20"/>
        </w:rPr>
      </w:pPr>
      <w:r>
        <w:rPr>
          <w:rFonts w:ascii="Calibri" w:eastAsia="Calibri" w:hAnsi="Calibri" w:cs="Calibri"/>
          <w:color w:val="000000"/>
          <w:sz w:val="20"/>
          <w:szCs w:val="20"/>
        </w:rPr>
        <w:t>The Royal Australian and New Zealand College of Psychiatrists</w:t>
      </w:r>
    </w:p>
    <w:p w14:paraId="0000003E" w14:textId="77777777" w:rsidR="002139F9" w:rsidRDefault="00000000">
      <w:pPr>
        <w:ind w:left="360"/>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The Royal Australian College of General Practitioners</w:t>
      </w:r>
    </w:p>
    <w:p w14:paraId="0000003F" w14:textId="77777777" w:rsidR="002139F9" w:rsidRDefault="00000000">
      <w:pPr>
        <w:ind w:left="360"/>
        <w:rPr>
          <w:rFonts w:ascii="Calibri" w:eastAsia="Calibri" w:hAnsi="Calibri" w:cs="Calibri"/>
          <w:color w:val="000000"/>
          <w:sz w:val="20"/>
          <w:szCs w:val="20"/>
        </w:rPr>
        <w:sectPr w:rsidR="002139F9">
          <w:type w:val="continuous"/>
          <w:pgSz w:w="11906" w:h="16838"/>
          <w:pgMar w:top="1440" w:right="1440" w:bottom="1440" w:left="1440" w:header="708" w:footer="708" w:gutter="0"/>
          <w:cols w:num="2" w:space="720" w:equalWidth="0">
            <w:col w:w="4159" w:space="708"/>
            <w:col w:w="4159" w:space="0"/>
          </w:cols>
        </w:sectPr>
      </w:pPr>
      <w:r>
        <w:rPr>
          <w:rFonts w:ascii="Calibri" w:eastAsia="Calibri" w:hAnsi="Calibri" w:cs="Calibri"/>
          <w:color w:val="000000"/>
          <w:sz w:val="20"/>
          <w:szCs w:val="20"/>
        </w:rPr>
        <w:t>The Royal College of Pathologists Australasia</w:t>
      </w:r>
    </w:p>
    <w:p w14:paraId="00000040" w14:textId="77777777" w:rsidR="002139F9" w:rsidRDefault="002139F9">
      <w:pPr>
        <w:rPr>
          <w:rFonts w:ascii="Calibri" w:eastAsia="Calibri" w:hAnsi="Calibri" w:cs="Calibri"/>
          <w:color w:val="000000"/>
          <w:sz w:val="22"/>
          <w:szCs w:val="22"/>
        </w:rPr>
      </w:pPr>
    </w:p>
    <w:p w14:paraId="00000041" w14:textId="77777777" w:rsidR="002139F9" w:rsidRDefault="00000000">
      <w:pPr>
        <w:rPr>
          <w:rFonts w:ascii="Calibri" w:eastAsia="Calibri" w:hAnsi="Calibri" w:cs="Calibri"/>
          <w:color w:val="000000"/>
          <w:sz w:val="22"/>
          <w:szCs w:val="22"/>
        </w:rPr>
      </w:pPr>
      <w:r>
        <w:rPr>
          <w:rFonts w:ascii="Calibri" w:eastAsia="Calibri" w:hAnsi="Calibri" w:cs="Calibri"/>
          <w:b/>
          <w:color w:val="000000"/>
          <w:sz w:val="22"/>
          <w:szCs w:val="22"/>
        </w:rPr>
        <w:t>CC:</w:t>
      </w:r>
      <w:r>
        <w:rPr>
          <w:rFonts w:ascii="Calibri" w:eastAsia="Calibri" w:hAnsi="Calibri" w:cs="Calibri"/>
          <w:color w:val="000000"/>
          <w:sz w:val="22"/>
          <w:szCs w:val="22"/>
        </w:rPr>
        <w:t xml:space="preserve"> All Australian Federal, State, and Territory Senators and Members of Parliament</w:t>
      </w:r>
    </w:p>
    <w:p w14:paraId="00000042" w14:textId="77777777" w:rsidR="002139F9" w:rsidRDefault="002139F9">
      <w:pPr>
        <w:rPr>
          <w:rFonts w:ascii="Calibri" w:eastAsia="Calibri" w:hAnsi="Calibri" w:cs="Calibri"/>
          <w:color w:val="000000"/>
          <w:sz w:val="22"/>
          <w:szCs w:val="22"/>
        </w:rPr>
      </w:pPr>
    </w:p>
    <w:p w14:paraId="00000043" w14:textId="77777777" w:rsidR="002139F9" w:rsidRDefault="002139F9">
      <w:pPr>
        <w:spacing w:line="360" w:lineRule="auto"/>
        <w:rPr>
          <w:rFonts w:ascii="Calibri" w:eastAsia="Calibri" w:hAnsi="Calibri" w:cs="Calibri"/>
          <w:color w:val="000000"/>
          <w:sz w:val="22"/>
          <w:szCs w:val="22"/>
        </w:rPr>
      </w:pPr>
    </w:p>
    <w:p w14:paraId="00000044" w14:textId="77777777" w:rsidR="002139F9" w:rsidRDefault="002139F9">
      <w:pPr>
        <w:spacing w:line="360" w:lineRule="auto"/>
        <w:rPr>
          <w:rFonts w:ascii="Calibri" w:eastAsia="Calibri" w:hAnsi="Calibri" w:cs="Calibri"/>
          <w:color w:val="000000"/>
          <w:sz w:val="22"/>
          <w:szCs w:val="22"/>
        </w:rPr>
      </w:pPr>
    </w:p>
    <w:p w14:paraId="00000045" w14:textId="77777777" w:rsidR="002139F9" w:rsidRDefault="002139F9">
      <w:pPr>
        <w:spacing w:line="360" w:lineRule="auto"/>
        <w:rPr>
          <w:rFonts w:ascii="Calibri" w:eastAsia="Calibri" w:hAnsi="Calibri" w:cs="Calibri"/>
          <w:color w:val="000000"/>
          <w:sz w:val="22"/>
          <w:szCs w:val="22"/>
        </w:rPr>
      </w:pPr>
    </w:p>
    <w:p w14:paraId="00000046" w14:textId="77777777" w:rsidR="002139F9" w:rsidRDefault="0000000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Dear Colleagues,</w:t>
      </w:r>
    </w:p>
    <w:p w14:paraId="00000047" w14:textId="77777777" w:rsidR="002139F9" w:rsidRDefault="002139F9">
      <w:pPr>
        <w:spacing w:line="276" w:lineRule="auto"/>
        <w:rPr>
          <w:rFonts w:ascii="Calibri" w:eastAsia="Calibri" w:hAnsi="Calibri" w:cs="Calibri"/>
          <w:color w:val="000000"/>
          <w:sz w:val="22"/>
          <w:szCs w:val="22"/>
        </w:rPr>
      </w:pPr>
    </w:p>
    <w:p w14:paraId="00000048" w14:textId="050AE317" w:rsidR="002139F9" w:rsidRDefault="00000000">
      <w:pPr>
        <w:spacing w:line="276" w:lineRule="auto"/>
        <w:rPr>
          <w:rFonts w:ascii="Calibri" w:eastAsia="Calibri" w:hAnsi="Calibri" w:cs="Calibri"/>
          <w:color w:val="000000"/>
          <w:sz w:val="22"/>
          <w:szCs w:val="22"/>
        </w:rPr>
      </w:pPr>
      <w:bookmarkStart w:id="0" w:name="_heading=h.gjdgxs" w:colFirst="0" w:colLast="0"/>
      <w:bookmarkEnd w:id="0"/>
      <w:r>
        <w:rPr>
          <w:rFonts w:ascii="Calibri" w:eastAsia="Calibri" w:hAnsi="Calibri" w:cs="Calibri"/>
          <w:color w:val="000000"/>
          <w:sz w:val="22"/>
          <w:szCs w:val="22"/>
        </w:rPr>
        <w:t>It is with great pleasure that I introduce you and your respective organisations to the Australian Medical Professionals Society. This email deals with several issues which are of concern to our membership and, we hope, yours. At the top of the list is the issue of medical free speech and its ramifications for true dialogue, debate, and informative patient interaction in Australia. Also, this email and the attached report of Dr Phillip Altman, makes available to you and your members a cutting edge update on the COVID-19 vaccinations and a comprehensive analysis of associated Adverse Events, together with implications for Australian practice. Finally, we draw your attention to our Health Reform Declaration, a statement which is gaining support as it highlights critical issues and potential solutions, within the complex environment of Australian Health Law.</w:t>
      </w:r>
    </w:p>
    <w:p w14:paraId="00000049" w14:textId="77777777" w:rsidR="002139F9" w:rsidRDefault="002139F9">
      <w:pPr>
        <w:spacing w:line="276" w:lineRule="auto"/>
        <w:rPr>
          <w:rFonts w:ascii="Calibri" w:eastAsia="Calibri" w:hAnsi="Calibri" w:cs="Calibri"/>
          <w:color w:val="000000"/>
          <w:sz w:val="22"/>
          <w:szCs w:val="22"/>
        </w:rPr>
      </w:pPr>
    </w:p>
    <w:p w14:paraId="0000004A" w14:textId="77777777" w:rsidR="002139F9" w:rsidRDefault="0000000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Australian Health Professionals and Scientists have been actively discussing and contemplating the profound health measures undertaken within Australia over the last 2&amp;1/2 years. However, we believe the current range of medical, medicolegal and </w:t>
      </w:r>
      <w:proofErr w:type="spellStart"/>
      <w:r>
        <w:rPr>
          <w:rFonts w:ascii="Calibri" w:eastAsia="Calibri" w:hAnsi="Calibri" w:cs="Calibri"/>
          <w:color w:val="000000"/>
          <w:sz w:val="22"/>
          <w:szCs w:val="22"/>
        </w:rPr>
        <w:t>medicopolitical</w:t>
      </w:r>
      <w:proofErr w:type="spellEnd"/>
      <w:r>
        <w:rPr>
          <w:rFonts w:ascii="Calibri" w:eastAsia="Calibri" w:hAnsi="Calibri" w:cs="Calibri"/>
          <w:color w:val="000000"/>
          <w:sz w:val="22"/>
          <w:szCs w:val="22"/>
        </w:rPr>
        <w:t xml:space="preserve"> issues brought about by the pandemic requires a greater breadth of discussion – not less – within and between our respective organisations and memberships.</w:t>
      </w:r>
    </w:p>
    <w:p w14:paraId="0000004B" w14:textId="77777777" w:rsidR="002139F9" w:rsidRDefault="002139F9">
      <w:pPr>
        <w:spacing w:line="276" w:lineRule="auto"/>
        <w:rPr>
          <w:rFonts w:ascii="Calibri" w:eastAsia="Calibri" w:hAnsi="Calibri" w:cs="Calibri"/>
          <w:color w:val="000000"/>
          <w:sz w:val="22"/>
          <w:szCs w:val="22"/>
        </w:rPr>
      </w:pPr>
    </w:p>
    <w:p w14:paraId="0000004C" w14:textId="77777777" w:rsidR="002139F9" w:rsidRDefault="0000000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One of the chief concerns of our membership is that of medical free speech. Contingent to a joint statement received from AHPRA and the National Boards on 9 March 2021</w:t>
      </w:r>
      <w:r>
        <w:rPr>
          <w:rFonts w:ascii="Calibri" w:eastAsia="Calibri" w:hAnsi="Calibri" w:cs="Calibri"/>
          <w:color w:val="000000"/>
          <w:sz w:val="22"/>
          <w:szCs w:val="22"/>
          <w:vertAlign w:val="superscript"/>
        </w:rPr>
        <w:footnoteReference w:id="1"/>
      </w:r>
      <w:r>
        <w:rPr>
          <w:rFonts w:ascii="Calibri" w:eastAsia="Calibri" w:hAnsi="Calibri" w:cs="Calibri"/>
          <w:color w:val="000000"/>
          <w:sz w:val="22"/>
          <w:szCs w:val="22"/>
        </w:rPr>
        <w:t>, Australian Health Professionals numbering over 825,000 were essentially forbidden from publicly questioning the science underlying the emerging COVID-19 injectables, let alone questioning any government messaging urging Australians to be vaccinated because these products were deemed ‘safe and effective’. The effect of this unilateral action was to undermine professional independence and, in so doing, strip away years of training, academic achievements, qualifications, awards and expertise. However well intentioned, this gagging by bureaucratic decree inserted AHPRA and the National Boards between the Clinician and their Patient, in addition to counteracting normal robust interprofessional dialogue, as more data emerged.</w:t>
      </w:r>
    </w:p>
    <w:p w14:paraId="0000004D" w14:textId="77777777" w:rsidR="002139F9" w:rsidRDefault="002139F9">
      <w:pPr>
        <w:spacing w:line="276" w:lineRule="auto"/>
        <w:rPr>
          <w:rFonts w:ascii="Calibri" w:eastAsia="Calibri" w:hAnsi="Calibri" w:cs="Calibri"/>
          <w:color w:val="000000"/>
          <w:sz w:val="22"/>
          <w:szCs w:val="22"/>
        </w:rPr>
      </w:pPr>
    </w:p>
    <w:p w14:paraId="0000004E" w14:textId="77777777" w:rsidR="002139F9" w:rsidRDefault="0000000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Indeed, now 17 months later and after numerous forms of pressure to take up the COVID-19 injectables in various age categories, a tremendous amount of data is available to more fully and accurately inform clinicians about these products. This literature includes over one thousand</w:t>
      </w:r>
      <w:r>
        <w:rPr>
          <w:rFonts w:ascii="Calibri" w:eastAsia="Calibri" w:hAnsi="Calibri" w:cs="Calibri"/>
          <w:color w:val="000000"/>
          <w:sz w:val="22"/>
          <w:szCs w:val="22"/>
          <w:vertAlign w:val="superscript"/>
        </w:rPr>
        <w:footnoteReference w:id="2"/>
      </w:r>
      <w:r>
        <w:rPr>
          <w:rFonts w:ascii="Calibri" w:eastAsia="Calibri" w:hAnsi="Calibri" w:cs="Calibri"/>
          <w:color w:val="000000"/>
          <w:sz w:val="22"/>
          <w:szCs w:val="22"/>
        </w:rPr>
        <w:t xml:space="preserve"> peer reviewed studies reporting of the harms being seen around the world, up to December 2021. In addition, it has become clear that the risk of serious illness and death attributable to COVID-19 disease is heavily weighted to the elderly and those with known co-morbidities, while in contrast, younger Australians are relatively resistant.  Also, since the advent of the Delta and Omicron variants, it is highly questionable whether the vaccines are preventing transmission or illness. </w:t>
      </w:r>
    </w:p>
    <w:p w14:paraId="0000004F" w14:textId="77777777" w:rsidR="002139F9" w:rsidRDefault="0000000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In any event, the implied and intended outcome of the gagging was to see Doctors and Health Professionals effectively mandated to support the government campaign to have the Australian population injected with drugs for which there was no adequate short-, medium-, or long-term safety or efficacy data. Indeed, the rush to market and Provisional Approval occurred despite the absence of the usual pre-clinical studies, including testing for Carcinogenicity and Genotoxicity. In </w:t>
      </w:r>
      <w:r>
        <w:rPr>
          <w:rFonts w:ascii="Calibri" w:eastAsia="Calibri" w:hAnsi="Calibri" w:cs="Calibri"/>
          <w:color w:val="000000"/>
          <w:sz w:val="22"/>
          <w:szCs w:val="22"/>
        </w:rPr>
        <w:lastRenderedPageBreak/>
        <w:t>this regard, it should be of serious interest that a peer-reviewed investigation</w:t>
      </w:r>
      <w:r>
        <w:rPr>
          <w:rFonts w:ascii="Calibri" w:eastAsia="Calibri" w:hAnsi="Calibri" w:cs="Calibri"/>
          <w:color w:val="000000"/>
          <w:sz w:val="22"/>
          <w:szCs w:val="22"/>
          <w:vertAlign w:val="superscript"/>
        </w:rPr>
        <w:footnoteReference w:id="3"/>
      </w:r>
      <w:r>
        <w:rPr>
          <w:rFonts w:ascii="Calibri" w:eastAsia="Calibri" w:hAnsi="Calibri" w:cs="Calibri"/>
          <w:color w:val="000000"/>
          <w:sz w:val="22"/>
          <w:szCs w:val="22"/>
        </w:rPr>
        <w:t xml:space="preserve"> has demonstrated that mRNA-derived Spike proteins enter the cell nucleus and interfere with DNA. However, many critical facts like these became forbidden subjects for Health Professionals and Doctors to raise with their patients, let alone in public forums. Thus, we contend that the joint statement of 9 March 2021 has compromised proper and informed consent in Australia.</w:t>
      </w:r>
    </w:p>
    <w:p w14:paraId="00000050" w14:textId="77777777" w:rsidR="002139F9" w:rsidRDefault="002139F9">
      <w:pPr>
        <w:spacing w:line="276" w:lineRule="auto"/>
        <w:rPr>
          <w:rFonts w:ascii="Calibri" w:eastAsia="Calibri" w:hAnsi="Calibri" w:cs="Calibri"/>
          <w:color w:val="000000"/>
          <w:sz w:val="22"/>
          <w:szCs w:val="22"/>
        </w:rPr>
      </w:pPr>
    </w:p>
    <w:p w14:paraId="00000051" w14:textId="77777777" w:rsidR="002139F9" w:rsidRDefault="0000000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Especially given the lack of available pre-clinical research for each of these products, or clinical studies powered to detect early safety signals at the time of Provisional Approval, the need for ongoing critical appraisal of pharmacovigilance data remains paramount, to instruct responsible day to day practice. To date, </w:t>
      </w:r>
      <w:r>
        <w:rPr>
          <w:rFonts w:ascii="Calibri" w:eastAsia="Calibri" w:hAnsi="Calibri" w:cs="Calibri"/>
          <w:i/>
          <w:color w:val="000000"/>
          <w:sz w:val="22"/>
          <w:szCs w:val="22"/>
        </w:rPr>
        <w:t>none</w:t>
      </w:r>
      <w:r>
        <w:rPr>
          <w:rFonts w:ascii="Calibri" w:eastAsia="Calibri" w:hAnsi="Calibri" w:cs="Calibri"/>
          <w:color w:val="000000"/>
          <w:sz w:val="22"/>
          <w:szCs w:val="22"/>
        </w:rPr>
        <w:t xml:space="preserve"> of the makers of the COVID-19 injectables have been able to stringently show their products to be Safe or properly Effective. To date, Adverse Events flowing from these products are at historically unprecedented levels globally and continue to rise. And again, to date, no other drugs in human history have reported more deaths, illnesses, injuries, and disabilities, which number as follows (to 28 June 2022):</w:t>
      </w:r>
    </w:p>
    <w:p w14:paraId="00000052" w14:textId="77777777" w:rsidR="002139F9" w:rsidRDefault="002139F9">
      <w:pPr>
        <w:spacing w:line="276" w:lineRule="auto"/>
        <w:rPr>
          <w:rFonts w:ascii="Calibri" w:eastAsia="Calibri" w:hAnsi="Calibri" w:cs="Calibri"/>
          <w:color w:val="000000"/>
          <w:sz w:val="22"/>
          <w:szCs w:val="22"/>
        </w:rPr>
      </w:pPr>
    </w:p>
    <w:p w14:paraId="00000053" w14:textId="77777777" w:rsidR="002139F9" w:rsidRDefault="00000000">
      <w:pP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Covid-19 Injectables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Adverse Event Reports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Deaths</w:t>
      </w:r>
    </w:p>
    <w:p w14:paraId="00000054" w14:textId="77777777" w:rsidR="002139F9" w:rsidRDefault="0000000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European Medicines Agency</w:t>
      </w:r>
      <w:r>
        <w:rPr>
          <w:rFonts w:ascii="Calibri" w:eastAsia="Calibri" w:hAnsi="Calibri" w:cs="Calibri"/>
          <w:color w:val="000000"/>
          <w:sz w:val="22"/>
          <w:szCs w:val="22"/>
          <w:vertAlign w:val="superscript"/>
        </w:rPr>
        <w:footnoteReference w:id="4"/>
      </w:r>
      <w:r>
        <w:rPr>
          <w:rFonts w:ascii="Calibri" w:eastAsia="Calibri" w:hAnsi="Calibri" w:cs="Calibri"/>
          <w:color w:val="000000"/>
          <w:sz w:val="22"/>
          <w:szCs w:val="22"/>
        </w:rPr>
        <w:tab/>
      </w:r>
      <w:r>
        <w:rPr>
          <w:rFonts w:ascii="Calibri" w:eastAsia="Calibri" w:hAnsi="Calibri" w:cs="Calibri"/>
          <w:color w:val="000000"/>
          <w:sz w:val="22"/>
          <w:szCs w:val="22"/>
        </w:rPr>
        <w:tab/>
        <w:t>1,845,179</w:t>
      </w:r>
      <w:r>
        <w:rPr>
          <w:rFonts w:ascii="Calibri" w:eastAsia="Calibri" w:hAnsi="Calibri" w:cs="Calibri"/>
          <w:color w:val="000000"/>
          <w:sz w:val="22"/>
          <w:szCs w:val="22"/>
          <w:vertAlign w:val="superscript"/>
        </w:rPr>
        <w:footnoteReference w:id="5"/>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45,982</w:t>
      </w:r>
    </w:p>
    <w:p w14:paraId="00000055" w14:textId="77777777" w:rsidR="002139F9" w:rsidRDefault="0000000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US VAERS</w:t>
      </w:r>
      <w:r>
        <w:rPr>
          <w:rFonts w:ascii="Calibri" w:eastAsia="Calibri" w:hAnsi="Calibri" w:cs="Calibri"/>
          <w:color w:val="000000"/>
          <w:sz w:val="22"/>
          <w:szCs w:val="22"/>
          <w:vertAlign w:val="superscript"/>
        </w:rPr>
        <w:footnoteReference w:id="6"/>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835,062</w:t>
      </w:r>
      <w:r>
        <w:rPr>
          <w:rFonts w:ascii="Calibri" w:eastAsia="Calibri" w:hAnsi="Calibri" w:cs="Calibri"/>
          <w:color w:val="000000"/>
          <w:sz w:val="22"/>
          <w:szCs w:val="22"/>
          <w:vertAlign w:val="superscript"/>
        </w:rPr>
        <w:footnoteReference w:id="7"/>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13,388</w:t>
      </w:r>
    </w:p>
    <w:p w14:paraId="00000056" w14:textId="77777777" w:rsidR="002139F9" w:rsidRDefault="0000000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Australia TGA</w:t>
      </w:r>
      <w:r>
        <w:rPr>
          <w:rFonts w:ascii="Calibri" w:eastAsia="Calibri" w:hAnsi="Calibri" w:cs="Calibri"/>
          <w:color w:val="000000"/>
          <w:sz w:val="22"/>
          <w:szCs w:val="22"/>
          <w:vertAlign w:val="superscript"/>
        </w:rPr>
        <w:footnoteReference w:id="8"/>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132,155</w:t>
      </w:r>
      <w:r>
        <w:rPr>
          <w:rFonts w:ascii="Calibri" w:eastAsia="Calibri" w:hAnsi="Calibri" w:cs="Calibri"/>
          <w:color w:val="000000"/>
          <w:sz w:val="22"/>
          <w:szCs w:val="22"/>
          <w:vertAlign w:val="superscript"/>
        </w:rPr>
        <w:footnoteReference w:id="9"/>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889</w:t>
      </w:r>
    </w:p>
    <w:p w14:paraId="00000057" w14:textId="77777777" w:rsidR="002139F9" w:rsidRDefault="0000000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UK Yellow Card</w:t>
      </w:r>
      <w:r>
        <w:rPr>
          <w:rFonts w:ascii="Calibri" w:eastAsia="Calibri" w:hAnsi="Calibri" w:cs="Calibri"/>
          <w:color w:val="000000"/>
          <w:sz w:val="22"/>
          <w:szCs w:val="22"/>
          <w:vertAlign w:val="superscript"/>
        </w:rPr>
        <w:footnoteReference w:id="10"/>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458,463</w:t>
      </w:r>
      <w:r>
        <w:rPr>
          <w:rFonts w:ascii="Calibri" w:eastAsia="Calibri" w:hAnsi="Calibri" w:cs="Calibri"/>
          <w:color w:val="000000"/>
          <w:sz w:val="22"/>
          <w:szCs w:val="22"/>
          <w:vertAlign w:val="superscript"/>
        </w:rPr>
        <w:footnoteReference w:id="11"/>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2,191</w:t>
      </w:r>
    </w:p>
    <w:p w14:paraId="00000058" w14:textId="77777777" w:rsidR="002139F9" w:rsidRDefault="00000000">
      <w:pPr>
        <w:spacing w:line="276" w:lineRule="auto"/>
        <w:rPr>
          <w:rFonts w:ascii="Calibri" w:eastAsia="Calibri" w:hAnsi="Calibri" w:cs="Calibri"/>
          <w:b/>
          <w:color w:val="000000"/>
          <w:sz w:val="22"/>
          <w:szCs w:val="22"/>
          <w:u w:val="single"/>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b/>
          <w:color w:val="000000"/>
          <w:sz w:val="22"/>
          <w:szCs w:val="22"/>
          <w:u w:val="single"/>
        </w:rPr>
        <w:t>Total</w:t>
      </w:r>
      <w:r>
        <w:rPr>
          <w:rFonts w:ascii="Calibri" w:eastAsia="Calibri" w:hAnsi="Calibri" w:cs="Calibri"/>
          <w:b/>
          <w:color w:val="000000"/>
          <w:sz w:val="22"/>
          <w:szCs w:val="22"/>
          <w:u w:val="single"/>
        </w:rPr>
        <w:tab/>
      </w:r>
      <w:r>
        <w:rPr>
          <w:rFonts w:ascii="Calibri" w:eastAsia="Calibri" w:hAnsi="Calibri" w:cs="Calibri"/>
          <w:b/>
          <w:color w:val="000000"/>
          <w:sz w:val="22"/>
          <w:szCs w:val="22"/>
          <w:u w:val="single"/>
        </w:rPr>
        <w:tab/>
        <w:t>3,270,859</w:t>
      </w:r>
      <w:r>
        <w:rPr>
          <w:rFonts w:ascii="Calibri" w:eastAsia="Calibri" w:hAnsi="Calibri" w:cs="Calibri"/>
          <w:b/>
          <w:color w:val="000000"/>
          <w:sz w:val="22"/>
          <w:szCs w:val="22"/>
          <w:u w:val="single"/>
        </w:rPr>
        <w:tab/>
      </w:r>
      <w:r>
        <w:rPr>
          <w:rFonts w:ascii="Calibri" w:eastAsia="Calibri" w:hAnsi="Calibri" w:cs="Calibri"/>
          <w:b/>
          <w:color w:val="000000"/>
          <w:sz w:val="22"/>
          <w:szCs w:val="22"/>
          <w:u w:val="single"/>
        </w:rPr>
        <w:tab/>
      </w:r>
      <w:r>
        <w:rPr>
          <w:rFonts w:ascii="Calibri" w:eastAsia="Calibri" w:hAnsi="Calibri" w:cs="Calibri"/>
          <w:b/>
          <w:color w:val="000000"/>
          <w:sz w:val="22"/>
          <w:szCs w:val="22"/>
          <w:u w:val="single"/>
        </w:rPr>
        <w:tab/>
      </w:r>
      <w:r>
        <w:rPr>
          <w:rFonts w:ascii="Calibri" w:eastAsia="Calibri" w:hAnsi="Calibri" w:cs="Calibri"/>
          <w:b/>
          <w:color w:val="000000"/>
          <w:sz w:val="22"/>
          <w:szCs w:val="22"/>
          <w:u w:val="single"/>
        </w:rPr>
        <w:tab/>
        <w:t>62,450</w:t>
      </w:r>
      <w:r>
        <w:rPr>
          <w:rFonts w:ascii="Calibri" w:eastAsia="Calibri" w:hAnsi="Calibri" w:cs="Calibri"/>
          <w:b/>
          <w:color w:val="000000"/>
          <w:sz w:val="22"/>
          <w:szCs w:val="22"/>
          <w:u w:val="single"/>
        </w:rPr>
        <w:tab/>
      </w:r>
    </w:p>
    <w:p w14:paraId="00000059" w14:textId="77777777" w:rsidR="002139F9" w:rsidRDefault="0000000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0000005A" w14:textId="77777777" w:rsidR="002139F9" w:rsidRDefault="0000000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It is widely acknowledged that all Adverse Event reporting systems suffer from under-reporting</w:t>
      </w:r>
      <w:r>
        <w:rPr>
          <w:rFonts w:ascii="Calibri" w:eastAsia="Calibri" w:hAnsi="Calibri" w:cs="Calibri"/>
          <w:color w:val="000000"/>
          <w:sz w:val="22"/>
          <w:szCs w:val="22"/>
          <w:vertAlign w:val="superscript"/>
        </w:rPr>
        <w:footnoteReference w:id="12"/>
      </w:r>
      <w:r>
        <w:rPr>
          <w:rFonts w:ascii="Calibri" w:eastAsia="Calibri" w:hAnsi="Calibri" w:cs="Calibri"/>
          <w:color w:val="000000"/>
          <w:sz w:val="22"/>
          <w:szCs w:val="22"/>
        </w:rPr>
        <w:t>, an inherent challenge for passive reporting systems and their interpretation. For US VAERS reporting in respect of the COVID-19 injectables, the Under-Reporting Factor (URF) has been estimated to be between 40-49x</w:t>
      </w:r>
      <w:r>
        <w:rPr>
          <w:rFonts w:ascii="Calibri" w:eastAsia="Calibri" w:hAnsi="Calibri" w:cs="Calibri"/>
          <w:color w:val="000000"/>
          <w:sz w:val="22"/>
          <w:szCs w:val="22"/>
          <w:vertAlign w:val="superscript"/>
        </w:rPr>
        <w:footnoteReference w:id="13"/>
      </w:r>
      <w:r>
        <w:rPr>
          <w:rFonts w:ascii="Calibri" w:eastAsia="Calibri" w:hAnsi="Calibri" w:cs="Calibri"/>
          <w:color w:val="000000"/>
          <w:sz w:val="22"/>
          <w:szCs w:val="22"/>
        </w:rPr>
        <w:t>. If a conservative URF of 10x is applied, the above figures begin to more realistically represent the likely true effects of the Covid-19 injectables:</w:t>
      </w:r>
    </w:p>
    <w:p w14:paraId="0000005B" w14:textId="77777777" w:rsidR="002139F9" w:rsidRDefault="002139F9">
      <w:pPr>
        <w:spacing w:line="276" w:lineRule="auto"/>
        <w:rPr>
          <w:rFonts w:ascii="Calibri" w:eastAsia="Calibri" w:hAnsi="Calibri" w:cs="Calibri"/>
          <w:color w:val="000000"/>
          <w:sz w:val="22"/>
          <w:szCs w:val="22"/>
        </w:rPr>
      </w:pPr>
    </w:p>
    <w:p w14:paraId="0000005C" w14:textId="77777777" w:rsidR="002139F9" w:rsidRDefault="00000000">
      <w:pPr>
        <w:spacing w:line="276" w:lineRule="auto"/>
        <w:rPr>
          <w:rFonts w:ascii="Calibri" w:eastAsia="Calibri" w:hAnsi="Calibri" w:cs="Calibri"/>
          <w:b/>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Adverse Event Reports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Deaths</w:t>
      </w:r>
    </w:p>
    <w:p w14:paraId="0000005D" w14:textId="77777777" w:rsidR="002139F9" w:rsidRDefault="00000000">
      <w:pPr>
        <w:spacing w:line="276" w:lineRule="auto"/>
        <w:rPr>
          <w:rFonts w:ascii="Calibri" w:eastAsia="Calibri" w:hAnsi="Calibri" w:cs="Calibri"/>
          <w:color w:val="000000"/>
          <w:sz w:val="22"/>
          <w:szCs w:val="22"/>
        </w:rPr>
      </w:pP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color w:val="000000"/>
          <w:sz w:val="22"/>
          <w:szCs w:val="22"/>
        </w:rPr>
        <w:t>EU, US, AU, UK</w:t>
      </w:r>
    </w:p>
    <w:p w14:paraId="0000005E" w14:textId="77777777" w:rsidR="002139F9" w:rsidRDefault="002139F9">
      <w:pPr>
        <w:spacing w:line="276" w:lineRule="auto"/>
        <w:rPr>
          <w:rFonts w:ascii="Calibri" w:eastAsia="Calibri" w:hAnsi="Calibri" w:cs="Calibri"/>
          <w:color w:val="000000"/>
          <w:sz w:val="22"/>
          <w:szCs w:val="22"/>
        </w:rPr>
      </w:pPr>
    </w:p>
    <w:p w14:paraId="0000005F" w14:textId="77777777" w:rsidR="002139F9" w:rsidRDefault="00000000">
      <w:pPr>
        <w:spacing w:line="276" w:lineRule="auto"/>
        <w:rPr>
          <w:rFonts w:ascii="Calibri" w:eastAsia="Calibri" w:hAnsi="Calibri" w:cs="Calibri"/>
          <w:b/>
          <w:color w:val="000000"/>
          <w:sz w:val="22"/>
          <w:szCs w:val="22"/>
          <w:u w:val="single"/>
        </w:rPr>
      </w:pPr>
      <w:r>
        <w:rPr>
          <w:rFonts w:ascii="Calibri" w:eastAsia="Calibri" w:hAnsi="Calibri" w:cs="Calibri"/>
          <w:b/>
          <w:color w:val="000000"/>
          <w:sz w:val="22"/>
          <w:szCs w:val="22"/>
        </w:rPr>
        <w:lastRenderedPageBreak/>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u w:val="single"/>
        </w:rPr>
        <w:t>Total</w:t>
      </w:r>
      <w:r>
        <w:rPr>
          <w:rFonts w:ascii="Calibri" w:eastAsia="Calibri" w:hAnsi="Calibri" w:cs="Calibri"/>
          <w:b/>
          <w:color w:val="000000"/>
          <w:sz w:val="22"/>
          <w:szCs w:val="22"/>
          <w:u w:val="single"/>
        </w:rPr>
        <w:tab/>
      </w:r>
      <w:r>
        <w:rPr>
          <w:rFonts w:ascii="Calibri" w:eastAsia="Calibri" w:hAnsi="Calibri" w:cs="Calibri"/>
          <w:b/>
          <w:color w:val="000000"/>
          <w:sz w:val="22"/>
          <w:szCs w:val="22"/>
          <w:u w:val="single"/>
        </w:rPr>
        <w:tab/>
        <w:t>32,708,590</w:t>
      </w:r>
      <w:r>
        <w:rPr>
          <w:rFonts w:ascii="Calibri" w:eastAsia="Calibri" w:hAnsi="Calibri" w:cs="Calibri"/>
          <w:b/>
          <w:color w:val="000000"/>
          <w:sz w:val="22"/>
          <w:szCs w:val="22"/>
          <w:u w:val="single"/>
        </w:rPr>
        <w:tab/>
      </w:r>
      <w:r>
        <w:rPr>
          <w:rFonts w:ascii="Calibri" w:eastAsia="Calibri" w:hAnsi="Calibri" w:cs="Calibri"/>
          <w:b/>
          <w:color w:val="000000"/>
          <w:sz w:val="22"/>
          <w:szCs w:val="22"/>
          <w:u w:val="single"/>
        </w:rPr>
        <w:tab/>
      </w:r>
      <w:r>
        <w:rPr>
          <w:rFonts w:ascii="Calibri" w:eastAsia="Calibri" w:hAnsi="Calibri" w:cs="Calibri"/>
          <w:b/>
          <w:color w:val="000000"/>
          <w:sz w:val="22"/>
          <w:szCs w:val="22"/>
          <w:u w:val="single"/>
        </w:rPr>
        <w:tab/>
      </w:r>
      <w:r>
        <w:rPr>
          <w:rFonts w:ascii="Calibri" w:eastAsia="Calibri" w:hAnsi="Calibri" w:cs="Calibri"/>
          <w:b/>
          <w:color w:val="000000"/>
          <w:sz w:val="22"/>
          <w:szCs w:val="22"/>
          <w:u w:val="single"/>
        </w:rPr>
        <w:tab/>
        <w:t>624,500</w:t>
      </w:r>
    </w:p>
    <w:p w14:paraId="00000060" w14:textId="77777777" w:rsidR="002139F9" w:rsidRDefault="002139F9">
      <w:pPr>
        <w:spacing w:line="276" w:lineRule="auto"/>
        <w:rPr>
          <w:rFonts w:ascii="Calibri" w:eastAsia="Calibri" w:hAnsi="Calibri" w:cs="Calibri"/>
          <w:sz w:val="22"/>
          <w:szCs w:val="22"/>
        </w:rPr>
      </w:pPr>
    </w:p>
    <w:p w14:paraId="00000061" w14:textId="77777777" w:rsidR="002139F9" w:rsidRDefault="00000000">
      <w:pPr>
        <w:spacing w:line="276" w:lineRule="auto"/>
        <w:rPr>
          <w:rFonts w:ascii="Calibri" w:eastAsia="Calibri" w:hAnsi="Calibri" w:cs="Calibri"/>
          <w:sz w:val="22"/>
          <w:szCs w:val="22"/>
        </w:rPr>
      </w:pPr>
      <w:r>
        <w:rPr>
          <w:rFonts w:ascii="Calibri" w:eastAsia="Calibri" w:hAnsi="Calibri" w:cs="Calibri"/>
          <w:sz w:val="22"/>
          <w:szCs w:val="22"/>
        </w:rPr>
        <w:t xml:space="preserve">To be clear, the TGA has received more Adverse Event reports in 2021 through June 2022 for the COVID-19 vaccines, than they have been seen for all other vaccines in the preceding 50-year period. </w:t>
      </w:r>
      <w:r>
        <w:rPr>
          <w:rFonts w:ascii="Calibri" w:eastAsia="Calibri" w:hAnsi="Calibri" w:cs="Calibri"/>
          <w:color w:val="000000"/>
          <w:sz w:val="22"/>
          <w:szCs w:val="22"/>
        </w:rPr>
        <w:t xml:space="preserve">A similar explosion in Adverse Event reports for the </w:t>
      </w:r>
      <w:r>
        <w:rPr>
          <w:rFonts w:ascii="Calibri" w:eastAsia="Calibri" w:hAnsi="Calibri" w:cs="Calibri"/>
          <w:sz w:val="22"/>
          <w:szCs w:val="22"/>
        </w:rPr>
        <w:t xml:space="preserve"> COVID</w:t>
      </w:r>
      <w:r>
        <w:rPr>
          <w:rFonts w:ascii="Calibri" w:eastAsia="Calibri" w:hAnsi="Calibri" w:cs="Calibri"/>
          <w:color w:val="000000"/>
          <w:sz w:val="22"/>
          <w:szCs w:val="22"/>
        </w:rPr>
        <w:t>-19 injectables has occurred in all other countries that chose to deploy them</w:t>
      </w:r>
      <w:r>
        <w:rPr>
          <w:rFonts w:ascii="Calibri" w:eastAsia="Calibri" w:hAnsi="Calibri" w:cs="Calibri"/>
          <w:color w:val="000000"/>
          <w:sz w:val="22"/>
          <w:szCs w:val="22"/>
          <w:vertAlign w:val="superscript"/>
        </w:rPr>
        <w:footnoteReference w:id="14"/>
      </w:r>
      <w:r>
        <w:rPr>
          <w:rFonts w:ascii="Calibri" w:eastAsia="Calibri" w:hAnsi="Calibri" w:cs="Calibri"/>
          <w:color w:val="000000"/>
          <w:sz w:val="22"/>
          <w:szCs w:val="22"/>
        </w:rPr>
        <w:t xml:space="preserve">, but </w:t>
      </w:r>
      <w:r>
        <w:rPr>
          <w:rFonts w:ascii="Calibri" w:eastAsia="Calibri" w:hAnsi="Calibri" w:cs="Calibri"/>
          <w:sz w:val="22"/>
          <w:szCs w:val="22"/>
        </w:rPr>
        <w:t>in Australia, comparing the period from 1971</w:t>
      </w:r>
      <w:r>
        <w:rPr>
          <w:rFonts w:ascii="Calibri" w:eastAsia="Calibri" w:hAnsi="Calibri" w:cs="Calibri"/>
          <w:sz w:val="22"/>
          <w:szCs w:val="22"/>
          <w:vertAlign w:val="superscript"/>
        </w:rPr>
        <w:footnoteReference w:id="15"/>
      </w:r>
      <w:r>
        <w:rPr>
          <w:rFonts w:ascii="Calibri" w:eastAsia="Calibri" w:hAnsi="Calibri" w:cs="Calibri"/>
          <w:sz w:val="22"/>
          <w:szCs w:val="22"/>
        </w:rPr>
        <w:t xml:space="preserve"> until the start of 2021 in respect of traditional protein-based vaccines, to the period from 1 February 2021 through 8 June 2022 in respect of the COVID-19 injectables, we observe the following:</w:t>
      </w:r>
    </w:p>
    <w:p w14:paraId="00000062" w14:textId="77777777" w:rsidR="002139F9" w:rsidRDefault="002139F9">
      <w:pPr>
        <w:spacing w:line="276" w:lineRule="auto"/>
        <w:rPr>
          <w:rFonts w:ascii="Calibri" w:eastAsia="Calibri" w:hAnsi="Calibri" w:cs="Calibri"/>
          <w:sz w:val="22"/>
          <w:szCs w:val="22"/>
        </w:rPr>
      </w:pPr>
    </w:p>
    <w:p w14:paraId="00000063" w14:textId="77777777" w:rsidR="002139F9" w:rsidRDefault="00000000">
      <w:pPr>
        <w:spacing w:line="276" w:lineRule="auto"/>
        <w:rPr>
          <w:rFonts w:ascii="Calibri" w:eastAsia="Calibri" w:hAnsi="Calibri" w:cs="Calibri"/>
          <w:sz w:val="22"/>
          <w:szCs w:val="22"/>
        </w:rPr>
      </w:pPr>
      <w:r>
        <w:rPr>
          <w:rFonts w:ascii="Calibri" w:eastAsia="Calibri" w:hAnsi="Calibri" w:cs="Calibri"/>
          <w:sz w:val="22"/>
          <w:szCs w:val="22"/>
        </w:rPr>
        <w:t>Number of Adverse Event Reports non-COVID vaccines (50yrs):</w:t>
      </w:r>
      <w:r>
        <w:tab/>
      </w:r>
      <w:r>
        <w:rPr>
          <w:rFonts w:ascii="Calibri" w:eastAsia="Calibri" w:hAnsi="Calibri" w:cs="Calibri"/>
          <w:sz w:val="22"/>
          <w:szCs w:val="22"/>
        </w:rPr>
        <w:t xml:space="preserve"> </w:t>
      </w:r>
      <w:r>
        <w:tab/>
      </w:r>
      <w:r>
        <w:tab/>
      </w:r>
      <w:r>
        <w:rPr>
          <w:rFonts w:ascii="Calibri" w:eastAsia="Calibri" w:hAnsi="Calibri" w:cs="Calibri"/>
          <w:sz w:val="22"/>
          <w:szCs w:val="22"/>
        </w:rPr>
        <w:t>19,330</w:t>
      </w:r>
    </w:p>
    <w:p w14:paraId="00000064" w14:textId="77777777" w:rsidR="002139F9" w:rsidRDefault="00000000">
      <w:pPr>
        <w:spacing w:line="276" w:lineRule="auto"/>
        <w:rPr>
          <w:rFonts w:ascii="Calibri" w:eastAsia="Calibri" w:hAnsi="Calibri" w:cs="Calibri"/>
          <w:sz w:val="22"/>
          <w:szCs w:val="22"/>
        </w:rPr>
      </w:pPr>
      <w:r>
        <w:rPr>
          <w:rFonts w:ascii="Calibri" w:eastAsia="Calibri" w:hAnsi="Calibri" w:cs="Calibri"/>
          <w:sz w:val="22"/>
          <w:szCs w:val="22"/>
        </w:rPr>
        <w:t>Number of Adverse Event Reports COVID-19 injectables (18mths):</w:t>
      </w:r>
      <w:r>
        <w:tab/>
      </w:r>
      <w:r>
        <w:tab/>
      </w:r>
      <w:r>
        <w:rPr>
          <w:rFonts w:ascii="Calibri" w:eastAsia="Calibri" w:hAnsi="Calibri" w:cs="Calibri"/>
          <w:sz w:val="22"/>
          <w:szCs w:val="22"/>
        </w:rPr>
        <w:t>132,668</w:t>
      </w:r>
    </w:p>
    <w:p w14:paraId="00000065" w14:textId="77777777" w:rsidR="002139F9" w:rsidRDefault="002139F9">
      <w:pPr>
        <w:spacing w:line="276" w:lineRule="auto"/>
        <w:rPr>
          <w:rFonts w:ascii="Calibri" w:eastAsia="Calibri" w:hAnsi="Calibri" w:cs="Calibri"/>
          <w:sz w:val="22"/>
          <w:szCs w:val="22"/>
        </w:rPr>
      </w:pPr>
    </w:p>
    <w:p w14:paraId="00000066" w14:textId="77777777" w:rsidR="002139F9" w:rsidRDefault="00000000">
      <w:pPr>
        <w:spacing w:line="276" w:lineRule="auto"/>
        <w:rPr>
          <w:rFonts w:ascii="Calibri" w:eastAsia="Calibri" w:hAnsi="Calibri" w:cs="Calibri"/>
          <w:sz w:val="22"/>
          <w:szCs w:val="22"/>
        </w:rPr>
      </w:pPr>
      <w:r>
        <w:rPr>
          <w:rFonts w:ascii="Calibri" w:eastAsia="Calibri" w:hAnsi="Calibri" w:cs="Calibri"/>
          <w:sz w:val="22"/>
          <w:szCs w:val="22"/>
        </w:rPr>
        <w:t>Number of Reaction Types non-COVID vaccines (50yrs):</w:t>
      </w:r>
      <w:r>
        <w:tab/>
      </w:r>
      <w:r>
        <w:tab/>
      </w:r>
      <w:r>
        <w:tab/>
      </w:r>
      <w:r>
        <w:tab/>
      </w:r>
      <w:r>
        <w:rPr>
          <w:rFonts w:ascii="Calibri" w:eastAsia="Calibri" w:hAnsi="Calibri" w:cs="Calibri"/>
          <w:sz w:val="22"/>
          <w:szCs w:val="22"/>
        </w:rPr>
        <w:t>1,492</w:t>
      </w:r>
    </w:p>
    <w:p w14:paraId="00000067" w14:textId="77777777" w:rsidR="002139F9" w:rsidRDefault="00000000">
      <w:pPr>
        <w:spacing w:line="276" w:lineRule="auto"/>
        <w:rPr>
          <w:rFonts w:ascii="Calibri" w:eastAsia="Calibri" w:hAnsi="Calibri" w:cs="Calibri"/>
          <w:sz w:val="22"/>
          <w:szCs w:val="22"/>
        </w:rPr>
      </w:pPr>
      <w:r>
        <w:rPr>
          <w:rFonts w:ascii="Calibri" w:eastAsia="Calibri" w:hAnsi="Calibri" w:cs="Calibri"/>
          <w:sz w:val="22"/>
          <w:szCs w:val="22"/>
        </w:rPr>
        <w:t>Number of Reaction Types COVID -19 injectables (18mths):</w:t>
      </w:r>
      <w:r>
        <w:tab/>
      </w:r>
      <w:r>
        <w:tab/>
      </w:r>
      <w:r>
        <w:tab/>
      </w:r>
      <w:r>
        <w:rPr>
          <w:rFonts w:ascii="Calibri" w:eastAsia="Calibri" w:hAnsi="Calibri" w:cs="Calibri"/>
          <w:sz w:val="22"/>
          <w:szCs w:val="22"/>
        </w:rPr>
        <w:t>3,660</w:t>
      </w:r>
    </w:p>
    <w:p w14:paraId="00000068" w14:textId="77777777" w:rsidR="002139F9" w:rsidRDefault="002139F9">
      <w:pPr>
        <w:spacing w:line="276" w:lineRule="auto"/>
        <w:rPr>
          <w:rFonts w:ascii="Calibri" w:eastAsia="Calibri" w:hAnsi="Calibri" w:cs="Calibri"/>
          <w:sz w:val="22"/>
          <w:szCs w:val="22"/>
        </w:rPr>
      </w:pPr>
    </w:p>
    <w:p w14:paraId="00000069" w14:textId="77777777" w:rsidR="002139F9" w:rsidRDefault="00000000">
      <w:pPr>
        <w:spacing w:line="276" w:lineRule="auto"/>
        <w:rPr>
          <w:rFonts w:ascii="Calibri" w:eastAsia="Calibri" w:hAnsi="Calibri" w:cs="Calibri"/>
          <w:sz w:val="22"/>
          <w:szCs w:val="22"/>
        </w:rPr>
      </w:pPr>
      <w:r>
        <w:rPr>
          <w:rFonts w:ascii="Calibri" w:eastAsia="Calibri" w:hAnsi="Calibri" w:cs="Calibri"/>
          <w:sz w:val="22"/>
          <w:szCs w:val="22"/>
        </w:rPr>
        <w:t>Number of Adverse Reactions non-COVID vaccines (50yrs):</w:t>
      </w:r>
      <w:r>
        <w:tab/>
      </w:r>
      <w:r>
        <w:tab/>
      </w:r>
      <w:r>
        <w:tab/>
      </w:r>
      <w:r>
        <w:rPr>
          <w:rFonts w:ascii="Calibri" w:eastAsia="Calibri" w:hAnsi="Calibri" w:cs="Calibri"/>
          <w:sz w:val="22"/>
          <w:szCs w:val="22"/>
        </w:rPr>
        <w:t>43,878</w:t>
      </w:r>
    </w:p>
    <w:p w14:paraId="0000006A" w14:textId="77777777" w:rsidR="002139F9" w:rsidRDefault="00000000">
      <w:pPr>
        <w:spacing w:line="276" w:lineRule="auto"/>
        <w:rPr>
          <w:rFonts w:ascii="Calibri" w:eastAsia="Calibri" w:hAnsi="Calibri" w:cs="Calibri"/>
          <w:sz w:val="22"/>
          <w:szCs w:val="22"/>
        </w:rPr>
      </w:pPr>
      <w:r>
        <w:rPr>
          <w:rFonts w:ascii="Calibri" w:eastAsia="Calibri" w:hAnsi="Calibri" w:cs="Calibri"/>
          <w:sz w:val="22"/>
          <w:szCs w:val="22"/>
        </w:rPr>
        <w:t>Number of Adverse Reactions COVID-19 injectables (18mths):</w:t>
      </w:r>
      <w:r>
        <w:tab/>
      </w:r>
      <w:r>
        <w:tab/>
      </w:r>
      <w:r>
        <w:tab/>
      </w:r>
      <w:r>
        <w:rPr>
          <w:rFonts w:ascii="Calibri" w:eastAsia="Calibri" w:hAnsi="Calibri" w:cs="Calibri"/>
          <w:sz w:val="22"/>
          <w:szCs w:val="22"/>
        </w:rPr>
        <w:t>433,669</w:t>
      </w:r>
    </w:p>
    <w:p w14:paraId="0000006B" w14:textId="77777777" w:rsidR="002139F9" w:rsidRDefault="002139F9">
      <w:pPr>
        <w:spacing w:line="276" w:lineRule="auto"/>
        <w:rPr>
          <w:rFonts w:ascii="Calibri" w:eastAsia="Calibri" w:hAnsi="Calibri" w:cs="Calibri"/>
          <w:sz w:val="22"/>
          <w:szCs w:val="22"/>
        </w:rPr>
      </w:pPr>
    </w:p>
    <w:p w14:paraId="0000006C" w14:textId="77777777" w:rsidR="002139F9" w:rsidRDefault="00000000">
      <w:pPr>
        <w:spacing w:line="276" w:lineRule="auto"/>
        <w:rPr>
          <w:rFonts w:ascii="Calibri" w:eastAsia="Calibri" w:hAnsi="Calibri" w:cs="Calibri"/>
          <w:sz w:val="22"/>
          <w:szCs w:val="22"/>
        </w:rPr>
      </w:pPr>
      <w:r>
        <w:rPr>
          <w:rFonts w:ascii="Calibri" w:eastAsia="Calibri" w:hAnsi="Calibri" w:cs="Calibri"/>
          <w:sz w:val="22"/>
          <w:szCs w:val="22"/>
        </w:rPr>
        <w:t xml:space="preserve"># Adverse Reactions per Adverse Event report non-COVID vaccines (50yrs): </w:t>
      </w:r>
      <w:r>
        <w:tab/>
      </w:r>
      <w:r>
        <w:rPr>
          <w:rFonts w:ascii="Calibri" w:eastAsia="Calibri" w:hAnsi="Calibri" w:cs="Calibri"/>
          <w:sz w:val="22"/>
          <w:szCs w:val="22"/>
        </w:rPr>
        <w:t>2.27</w:t>
      </w:r>
    </w:p>
    <w:p w14:paraId="0000006D" w14:textId="77777777" w:rsidR="002139F9" w:rsidRDefault="00000000">
      <w:pPr>
        <w:spacing w:line="276" w:lineRule="auto"/>
        <w:rPr>
          <w:rFonts w:ascii="Calibri" w:eastAsia="Calibri" w:hAnsi="Calibri" w:cs="Calibri"/>
          <w:sz w:val="22"/>
          <w:szCs w:val="22"/>
        </w:rPr>
      </w:pPr>
      <w:r>
        <w:rPr>
          <w:rFonts w:ascii="Calibri" w:eastAsia="Calibri" w:hAnsi="Calibri" w:cs="Calibri"/>
          <w:sz w:val="22"/>
          <w:szCs w:val="22"/>
        </w:rPr>
        <w:t># Adverse Reactions per Adverse Event report COVID-19 injectables (18mths):</w:t>
      </w:r>
      <w:r>
        <w:tab/>
      </w:r>
      <w:r>
        <w:rPr>
          <w:rFonts w:ascii="Calibri" w:eastAsia="Calibri" w:hAnsi="Calibri" w:cs="Calibri"/>
          <w:sz w:val="22"/>
          <w:szCs w:val="22"/>
        </w:rPr>
        <w:t>3.27</w:t>
      </w:r>
    </w:p>
    <w:p w14:paraId="0000006E" w14:textId="77777777" w:rsidR="002139F9" w:rsidRDefault="002139F9">
      <w:pPr>
        <w:spacing w:line="276" w:lineRule="auto"/>
        <w:rPr>
          <w:rFonts w:ascii="Calibri" w:eastAsia="Calibri" w:hAnsi="Calibri" w:cs="Calibri"/>
          <w:sz w:val="22"/>
          <w:szCs w:val="22"/>
        </w:rPr>
      </w:pPr>
    </w:p>
    <w:p w14:paraId="0000006F" w14:textId="77777777" w:rsidR="002139F9" w:rsidRDefault="002139F9">
      <w:pPr>
        <w:spacing w:line="276" w:lineRule="auto"/>
        <w:rPr>
          <w:rFonts w:ascii="Calibri" w:eastAsia="Calibri" w:hAnsi="Calibri" w:cs="Calibri"/>
          <w:color w:val="000000"/>
          <w:sz w:val="22"/>
          <w:szCs w:val="22"/>
        </w:rPr>
      </w:pPr>
    </w:p>
    <w:p w14:paraId="00000070" w14:textId="78DAB025" w:rsidR="002139F9" w:rsidRDefault="0000000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To assist your organisation and membership to understand the causes leading to these concerning signals, we provide to you the comprehensive and up-to-date </w:t>
      </w:r>
      <w:hyperlink r:id="rId9" w:history="1">
        <w:r w:rsidRPr="002C2315">
          <w:rPr>
            <w:rStyle w:val="Hyperlink"/>
            <w:rFonts w:ascii="Calibri" w:eastAsia="Calibri" w:hAnsi="Calibri" w:cs="Calibri"/>
            <w:sz w:val="22"/>
            <w:szCs w:val="22"/>
          </w:rPr>
          <w:t>report of Dr Phillip Altman</w:t>
        </w:r>
      </w:hyperlink>
      <w:r>
        <w:rPr>
          <w:rFonts w:ascii="Calibri" w:eastAsia="Calibri" w:hAnsi="Calibri" w:cs="Calibri"/>
          <w:color w:val="000000"/>
          <w:sz w:val="22"/>
          <w:szCs w:val="22"/>
        </w:rPr>
        <w:t xml:space="preserve"> attached to this email. By way of background, Dr Altman’s report has been used in modified formats to assist judiciaries in Australia and New Zealand to understand the scientific evidence behind the COVID-19 injectables. We believe it is proving to be the long-awaited body of work needed by the Judicial, Medical and Scientific communities of Australia, to bring clarity by critical scientific appraisal during these controversial times of COVID-19.</w:t>
      </w:r>
    </w:p>
    <w:p w14:paraId="00000071" w14:textId="77777777" w:rsidR="002139F9" w:rsidRDefault="002139F9">
      <w:pPr>
        <w:spacing w:line="276" w:lineRule="auto"/>
        <w:rPr>
          <w:rFonts w:ascii="Calibri" w:eastAsia="Calibri" w:hAnsi="Calibri" w:cs="Calibri"/>
          <w:color w:val="000000"/>
          <w:sz w:val="22"/>
          <w:szCs w:val="22"/>
        </w:rPr>
      </w:pPr>
    </w:p>
    <w:p w14:paraId="00000072" w14:textId="77777777" w:rsidR="002139F9" w:rsidRDefault="0000000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Since your organisation is now in possession of the information and resources </w:t>
      </w:r>
      <w:r>
        <w:rPr>
          <w:rFonts w:ascii="Calibri" w:eastAsia="Calibri" w:hAnsi="Calibri" w:cs="Calibri"/>
          <w:sz w:val="22"/>
          <w:szCs w:val="22"/>
        </w:rPr>
        <w:t>contained in the</w:t>
      </w:r>
      <w:r>
        <w:rPr>
          <w:rFonts w:ascii="Calibri" w:eastAsia="Calibri" w:hAnsi="Calibri" w:cs="Calibri"/>
          <w:color w:val="000000"/>
          <w:sz w:val="22"/>
          <w:szCs w:val="22"/>
        </w:rPr>
        <w:t xml:space="preserve"> attached report, we ask that your members also receive the same for the benefit of their being fully informed as to the state of the science surrounding COVID-19. After considerable consultation, AMPS is of the opinion that Australia is experiencing a highly significant iatrogenic event. Further, we believe that this did not have to occur: it could have been avoided, but for the state of Australia’s health law leading into the pandemic. AMPS is strenuously of the view that in order to avoid a repeat of the recent past, Australian health law requires urgent reform. To this end we invite every organisation receiving this email, including every parliamentarian </w:t>
      </w:r>
      <w:proofErr w:type="spellStart"/>
      <w:r>
        <w:rPr>
          <w:rFonts w:ascii="Calibri" w:eastAsia="Calibri" w:hAnsi="Calibri" w:cs="Calibri"/>
          <w:color w:val="000000"/>
          <w:sz w:val="22"/>
          <w:szCs w:val="22"/>
        </w:rPr>
        <w:t>CC’d</w:t>
      </w:r>
      <w:proofErr w:type="spellEnd"/>
      <w:r>
        <w:rPr>
          <w:rFonts w:ascii="Calibri" w:eastAsia="Calibri" w:hAnsi="Calibri" w:cs="Calibri"/>
          <w:color w:val="000000"/>
          <w:sz w:val="22"/>
          <w:szCs w:val="22"/>
        </w:rPr>
        <w:t xml:space="preserve">, to review the </w:t>
      </w:r>
      <w:r>
        <w:rPr>
          <w:rFonts w:ascii="Calibri" w:eastAsia="Calibri" w:hAnsi="Calibri" w:cs="Calibri"/>
          <w:b/>
          <w:i/>
          <w:color w:val="000000"/>
          <w:sz w:val="22"/>
          <w:szCs w:val="22"/>
        </w:rPr>
        <w:t>Declaration and Urgent Demands</w:t>
      </w:r>
      <w:r>
        <w:rPr>
          <w:rFonts w:ascii="Calibri" w:eastAsia="Calibri" w:hAnsi="Calibri" w:cs="Calibri"/>
          <w:color w:val="000000"/>
          <w:sz w:val="22"/>
          <w:szCs w:val="22"/>
        </w:rPr>
        <w:t xml:space="preserve"> for healthcare law reform set forth on the following page:</w:t>
      </w:r>
    </w:p>
    <w:p w14:paraId="00000073" w14:textId="77777777" w:rsidR="002139F9" w:rsidRDefault="002139F9">
      <w:pPr>
        <w:spacing w:line="276" w:lineRule="auto"/>
        <w:rPr>
          <w:rFonts w:ascii="Calibri" w:eastAsia="Calibri" w:hAnsi="Calibri" w:cs="Calibri"/>
          <w:color w:val="000000"/>
          <w:sz w:val="22"/>
          <w:szCs w:val="22"/>
        </w:rPr>
      </w:pPr>
    </w:p>
    <w:p w14:paraId="00000074" w14:textId="77777777" w:rsidR="002139F9" w:rsidRDefault="00000000">
      <w:pPr>
        <w:spacing w:line="276" w:lineRule="auto"/>
        <w:rPr>
          <w:rFonts w:ascii="Calibri" w:eastAsia="Calibri" w:hAnsi="Calibri" w:cs="Calibri"/>
          <w:color w:val="000000"/>
          <w:sz w:val="22"/>
          <w:szCs w:val="22"/>
        </w:rPr>
      </w:pPr>
      <w:hyperlink r:id="rId10">
        <w:r>
          <w:rPr>
            <w:rFonts w:ascii="Calibri" w:eastAsia="Calibri" w:hAnsi="Calibri" w:cs="Calibri"/>
            <w:color w:val="0563C1"/>
            <w:sz w:val="22"/>
            <w:szCs w:val="22"/>
            <w:u w:val="single"/>
          </w:rPr>
          <w:t>https://amps.redunion.com.au/healthreformdeclaration</w:t>
        </w:r>
      </w:hyperlink>
    </w:p>
    <w:p w14:paraId="00000075" w14:textId="77777777" w:rsidR="002139F9" w:rsidRDefault="002139F9">
      <w:pPr>
        <w:spacing w:line="276" w:lineRule="auto"/>
        <w:rPr>
          <w:rFonts w:ascii="Calibri" w:eastAsia="Calibri" w:hAnsi="Calibri" w:cs="Calibri"/>
          <w:color w:val="000000"/>
          <w:sz w:val="22"/>
          <w:szCs w:val="22"/>
        </w:rPr>
      </w:pPr>
    </w:p>
    <w:p w14:paraId="00000076" w14:textId="77777777" w:rsidR="002139F9" w:rsidRDefault="0000000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On the above Declaration page is also found </w:t>
      </w:r>
      <w:r>
        <w:rPr>
          <w:rFonts w:ascii="Calibri" w:eastAsia="Calibri" w:hAnsi="Calibri" w:cs="Calibri"/>
          <w:b/>
          <w:i/>
          <w:color w:val="000000"/>
          <w:sz w:val="22"/>
          <w:szCs w:val="22"/>
        </w:rPr>
        <w:t>Proposed Amendments to the Health Practitioner Regulation National Law</w:t>
      </w:r>
      <w:r>
        <w:rPr>
          <w:rFonts w:ascii="Calibri" w:eastAsia="Calibri" w:hAnsi="Calibri" w:cs="Calibri"/>
          <w:color w:val="000000"/>
          <w:sz w:val="22"/>
          <w:szCs w:val="22"/>
        </w:rPr>
        <w:t xml:space="preserve">, and </w:t>
      </w:r>
      <w:r>
        <w:rPr>
          <w:rFonts w:ascii="Calibri" w:eastAsia="Calibri" w:hAnsi="Calibri" w:cs="Calibri"/>
          <w:b/>
          <w:i/>
          <w:color w:val="000000"/>
          <w:sz w:val="22"/>
          <w:szCs w:val="22"/>
        </w:rPr>
        <w:t>Proposed Amendments to the Therapeutic Goods Act</w:t>
      </w:r>
      <w:r>
        <w:rPr>
          <w:rFonts w:ascii="Calibri" w:eastAsia="Calibri" w:hAnsi="Calibri" w:cs="Calibri"/>
          <w:color w:val="000000"/>
          <w:sz w:val="22"/>
          <w:szCs w:val="22"/>
        </w:rPr>
        <w:t>.</w:t>
      </w:r>
    </w:p>
    <w:p w14:paraId="00000077" w14:textId="77777777" w:rsidR="002139F9" w:rsidRDefault="002139F9">
      <w:pPr>
        <w:spacing w:line="276" w:lineRule="auto"/>
        <w:rPr>
          <w:rFonts w:ascii="Calibri" w:eastAsia="Calibri" w:hAnsi="Calibri" w:cs="Calibri"/>
          <w:color w:val="000000"/>
          <w:sz w:val="22"/>
          <w:szCs w:val="22"/>
        </w:rPr>
      </w:pPr>
    </w:p>
    <w:p w14:paraId="00000078" w14:textId="77777777" w:rsidR="002139F9" w:rsidRDefault="0000000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Many organisations receiving this email have members who are directly affected by the overarching powers of AHPRA and the National Boards, who have tended to dictate rather than consult with their registered members. This has caused a dangerous interference with the provision of information, for the purpose of each Australian exercising their right to fully Informed Consent, while it has also unduly and harshly seen Health Professionals sanctioned for seeking to uphold ethics and their Codes of Conduct.</w:t>
      </w:r>
    </w:p>
    <w:p w14:paraId="00000079" w14:textId="77777777" w:rsidR="002139F9" w:rsidRDefault="002139F9">
      <w:pPr>
        <w:spacing w:line="276" w:lineRule="auto"/>
        <w:rPr>
          <w:rFonts w:ascii="Calibri" w:eastAsia="Calibri" w:hAnsi="Calibri" w:cs="Calibri"/>
          <w:color w:val="000000"/>
          <w:sz w:val="22"/>
          <w:szCs w:val="22"/>
        </w:rPr>
      </w:pPr>
    </w:p>
    <w:p w14:paraId="0000007A" w14:textId="77777777" w:rsidR="002139F9" w:rsidRDefault="00000000">
      <w:pPr>
        <w:spacing w:line="276" w:lineRule="auto"/>
        <w:rPr>
          <w:rFonts w:ascii="Calibri" w:eastAsia="Calibri" w:hAnsi="Calibri" w:cs="Calibri"/>
          <w:color w:val="000000"/>
          <w:sz w:val="22"/>
          <w:szCs w:val="22"/>
        </w:rPr>
      </w:pPr>
      <w:r>
        <w:rPr>
          <w:rFonts w:ascii="Calibri" w:eastAsia="Calibri" w:hAnsi="Calibri" w:cs="Calibri"/>
          <w:sz w:val="22"/>
          <w:szCs w:val="22"/>
        </w:rPr>
        <w:t>It is not only regarding COVID-19 that AHPRA has been perceived to show over-reaching powers. Dissatisfaction and fear of AHPRA is widespread amongst many health professionals as evidenced by the Victorian branch of the AMA calling for a Royal Commission</w:t>
      </w:r>
      <w:r>
        <w:rPr>
          <w:rFonts w:ascii="Calibri" w:eastAsia="Calibri" w:hAnsi="Calibri" w:cs="Calibri"/>
          <w:sz w:val="22"/>
          <w:szCs w:val="22"/>
          <w:vertAlign w:val="superscript"/>
        </w:rPr>
        <w:footnoteReference w:id="16"/>
      </w:r>
      <w:r>
        <w:rPr>
          <w:rFonts w:ascii="Calibri" w:eastAsia="Calibri" w:hAnsi="Calibri" w:cs="Calibri"/>
          <w:sz w:val="22"/>
          <w:szCs w:val="22"/>
        </w:rPr>
        <w:t xml:space="preserve"> into AHPRA’s conduct.</w:t>
      </w:r>
    </w:p>
    <w:p w14:paraId="0000007B" w14:textId="77777777" w:rsidR="002139F9" w:rsidRDefault="002139F9">
      <w:pPr>
        <w:spacing w:line="276" w:lineRule="auto"/>
        <w:rPr>
          <w:rFonts w:ascii="Calibri" w:eastAsia="Calibri" w:hAnsi="Calibri" w:cs="Calibri"/>
          <w:color w:val="000000"/>
          <w:sz w:val="22"/>
          <w:szCs w:val="22"/>
        </w:rPr>
      </w:pPr>
    </w:p>
    <w:p w14:paraId="0000007C" w14:textId="77777777" w:rsidR="002139F9" w:rsidRDefault="0000000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Equally, we say it is evident that Australians have suffered as a consequence of the Provisional Approval </w:t>
      </w:r>
      <w:r>
        <w:rPr>
          <w:rFonts w:ascii="Calibri" w:eastAsia="Calibri" w:hAnsi="Calibri" w:cs="Calibri"/>
          <w:sz w:val="22"/>
          <w:szCs w:val="22"/>
        </w:rPr>
        <w:t>p</w:t>
      </w:r>
      <w:r>
        <w:rPr>
          <w:rFonts w:ascii="Calibri" w:eastAsia="Calibri" w:hAnsi="Calibri" w:cs="Calibri"/>
          <w:color w:val="000000"/>
          <w:sz w:val="22"/>
          <w:szCs w:val="22"/>
        </w:rPr>
        <w:t>athway laws. These have facilitated the rapid entry of significantly undertested products into the Australian market, despite their being recognised to be highly novel and experimental. Nonetheless, the COVID-19 injectables were mandated in many jurisdictions and workplaces, causing large numbers of Australians to feel coerced and simultaneously baffled by the inability of Doctors and other Health Professionals to give them a voice.</w:t>
      </w:r>
    </w:p>
    <w:p w14:paraId="0000007D" w14:textId="77777777" w:rsidR="002139F9" w:rsidRDefault="002139F9">
      <w:pPr>
        <w:spacing w:line="276" w:lineRule="auto"/>
        <w:rPr>
          <w:rFonts w:ascii="Calibri" w:eastAsia="Calibri" w:hAnsi="Calibri" w:cs="Calibri"/>
          <w:color w:val="000000"/>
          <w:sz w:val="22"/>
          <w:szCs w:val="22"/>
        </w:rPr>
      </w:pPr>
    </w:p>
    <w:p w14:paraId="0000007E" w14:textId="77777777" w:rsidR="002139F9" w:rsidRDefault="0000000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This can all be changed.</w:t>
      </w:r>
    </w:p>
    <w:p w14:paraId="0000007F" w14:textId="77777777" w:rsidR="002139F9" w:rsidRDefault="002139F9">
      <w:pPr>
        <w:spacing w:line="276" w:lineRule="auto"/>
        <w:rPr>
          <w:rFonts w:ascii="Calibri" w:eastAsia="Calibri" w:hAnsi="Calibri" w:cs="Calibri"/>
          <w:color w:val="000000"/>
          <w:sz w:val="22"/>
          <w:szCs w:val="22"/>
        </w:rPr>
      </w:pPr>
    </w:p>
    <w:p w14:paraId="00000080" w14:textId="77777777" w:rsidR="002139F9" w:rsidRDefault="0000000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We implore you as fellows and colleagues to give the information and resource contained in this email your greatest attention, with a view to sharing the same with your members. There will doubtless be many questions arising from our </w:t>
      </w:r>
      <w:proofErr w:type="gramStart"/>
      <w:r>
        <w:rPr>
          <w:rFonts w:ascii="Calibri" w:eastAsia="Calibri" w:hAnsi="Calibri" w:cs="Calibri"/>
          <w:color w:val="000000"/>
          <w:sz w:val="22"/>
          <w:szCs w:val="22"/>
        </w:rPr>
        <w:t>email</w:t>
      </w:r>
      <w:proofErr w:type="gramEnd"/>
      <w:r>
        <w:rPr>
          <w:rFonts w:ascii="Calibri" w:eastAsia="Calibri" w:hAnsi="Calibri" w:cs="Calibri"/>
          <w:color w:val="000000"/>
          <w:sz w:val="22"/>
          <w:szCs w:val="22"/>
        </w:rPr>
        <w:t xml:space="preserve"> and we invite further discussion with you. All of your considerations and efforts towards the continued promotion of evidence-based medical science are greatly appreciated.</w:t>
      </w:r>
    </w:p>
    <w:p w14:paraId="00000081" w14:textId="77777777" w:rsidR="002139F9" w:rsidRDefault="002139F9">
      <w:pPr>
        <w:spacing w:line="276" w:lineRule="auto"/>
        <w:rPr>
          <w:rFonts w:ascii="Calibri" w:eastAsia="Calibri" w:hAnsi="Calibri" w:cs="Calibri"/>
          <w:color w:val="000000"/>
          <w:sz w:val="22"/>
          <w:szCs w:val="22"/>
        </w:rPr>
      </w:pPr>
    </w:p>
    <w:p w14:paraId="00000082" w14:textId="77777777" w:rsidR="002139F9" w:rsidRDefault="0000000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Yours sincerely,</w:t>
      </w:r>
    </w:p>
    <w:p w14:paraId="00000083" w14:textId="77777777" w:rsidR="002139F9" w:rsidRDefault="002139F9">
      <w:pPr>
        <w:spacing w:line="276" w:lineRule="auto"/>
        <w:rPr>
          <w:rFonts w:ascii="Calibri" w:eastAsia="Calibri" w:hAnsi="Calibri" w:cs="Calibri"/>
          <w:color w:val="000000"/>
          <w:sz w:val="22"/>
          <w:szCs w:val="22"/>
        </w:rPr>
      </w:pPr>
    </w:p>
    <w:p w14:paraId="00000085" w14:textId="54A4940C" w:rsidR="002139F9" w:rsidRDefault="00C41D28">
      <w:pPr>
        <w:spacing w:line="276" w:lineRule="auto"/>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48D0681A" wp14:editId="24E760FF">
            <wp:extent cx="1091184" cy="5913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091184" cy="591312"/>
                    </a:xfrm>
                    <a:prstGeom prst="rect">
                      <a:avLst/>
                    </a:prstGeom>
                  </pic:spPr>
                </pic:pic>
              </a:graphicData>
            </a:graphic>
          </wp:inline>
        </w:drawing>
      </w:r>
    </w:p>
    <w:p w14:paraId="00000086" w14:textId="77777777" w:rsidR="002139F9" w:rsidRDefault="0000000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Associate Professor Christopher Neil</w:t>
      </w:r>
    </w:p>
    <w:p w14:paraId="00000087" w14:textId="77777777" w:rsidR="002139F9" w:rsidRDefault="0000000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MBBS, FRACP, PhD</w:t>
      </w:r>
    </w:p>
    <w:p w14:paraId="00000088" w14:textId="77777777" w:rsidR="002139F9" w:rsidRDefault="0000000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Incoming President</w:t>
      </w:r>
    </w:p>
    <w:p w14:paraId="00000089" w14:textId="77777777" w:rsidR="002139F9" w:rsidRDefault="0000000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Australian Medical Professionals Society</w:t>
      </w:r>
    </w:p>
    <w:sectPr w:rsidR="002139F9">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5948F" w14:textId="77777777" w:rsidR="0037160D" w:rsidRDefault="0037160D">
      <w:r>
        <w:separator/>
      </w:r>
    </w:p>
  </w:endnote>
  <w:endnote w:type="continuationSeparator" w:id="0">
    <w:p w14:paraId="709329A7" w14:textId="77777777" w:rsidR="0037160D" w:rsidRDefault="0037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F" w14:textId="77777777" w:rsidR="002139F9" w:rsidRDefault="00000000">
    <w:pPr>
      <w:pBdr>
        <w:top w:val="nil"/>
        <w:left w:val="nil"/>
        <w:bottom w:val="nil"/>
        <w:right w:val="nil"/>
        <w:between w:val="nil"/>
      </w:pBdr>
      <w:tabs>
        <w:tab w:val="center" w:pos="4513"/>
        <w:tab w:val="right" w:pos="9026"/>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color w:val="000000"/>
      </w:rPr>
      <w:fldChar w:fldCharType="end"/>
    </w:r>
  </w:p>
  <w:p w14:paraId="000000A0" w14:textId="77777777" w:rsidR="002139F9" w:rsidRDefault="002139F9">
    <w:pPr>
      <w:pBdr>
        <w:top w:val="nil"/>
        <w:left w:val="nil"/>
        <w:bottom w:val="nil"/>
        <w:right w:val="nil"/>
        <w:between w:val="nil"/>
      </w:pBdr>
      <w:tabs>
        <w:tab w:val="center" w:pos="4513"/>
        <w:tab w:val="right" w:pos="9026"/>
      </w:tabs>
      <w:ind w:right="360"/>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D" w14:textId="0F6E7421" w:rsidR="002139F9" w:rsidRDefault="00000000">
    <w:pPr>
      <w:pBdr>
        <w:top w:val="nil"/>
        <w:left w:val="nil"/>
        <w:bottom w:val="nil"/>
        <w:right w:val="nil"/>
        <w:between w:val="nil"/>
      </w:pBdr>
      <w:tabs>
        <w:tab w:val="center" w:pos="4513"/>
        <w:tab w:val="right" w:pos="902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4F4695">
      <w:rPr>
        <w:noProof/>
        <w:color w:val="000000"/>
        <w:sz w:val="20"/>
        <w:szCs w:val="20"/>
      </w:rPr>
      <w:t>1</w:t>
    </w:r>
    <w:r>
      <w:rPr>
        <w:color w:val="000000"/>
        <w:sz w:val="20"/>
        <w:szCs w:val="20"/>
      </w:rPr>
      <w:fldChar w:fldCharType="end"/>
    </w:r>
  </w:p>
  <w:p w14:paraId="0000009E" w14:textId="77777777" w:rsidR="002139F9" w:rsidRDefault="002139F9">
    <w:pPr>
      <w:pBdr>
        <w:top w:val="nil"/>
        <w:left w:val="nil"/>
        <w:bottom w:val="nil"/>
        <w:right w:val="nil"/>
        <w:between w:val="nil"/>
      </w:pBdr>
      <w:tabs>
        <w:tab w:val="center" w:pos="4513"/>
        <w:tab w:val="right" w:pos="9026"/>
      </w:tabs>
      <w:ind w:right="360"/>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0982D" w14:textId="77777777" w:rsidR="0037160D" w:rsidRDefault="0037160D">
      <w:r>
        <w:separator/>
      </w:r>
    </w:p>
  </w:footnote>
  <w:footnote w:type="continuationSeparator" w:id="0">
    <w:p w14:paraId="0B652106" w14:textId="77777777" w:rsidR="0037160D" w:rsidRDefault="0037160D">
      <w:r>
        <w:continuationSeparator/>
      </w:r>
    </w:p>
  </w:footnote>
  <w:footnote w:id="1">
    <w:p w14:paraId="0000008A" w14:textId="77777777" w:rsidR="002139F9" w:rsidRDefault="00000000">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w:t>
      </w:r>
      <w:hyperlink r:id="rId1">
        <w:r>
          <w:rPr>
            <w:rFonts w:ascii="Calibri" w:eastAsia="Calibri" w:hAnsi="Calibri" w:cs="Calibri"/>
            <w:color w:val="0563C1"/>
            <w:sz w:val="18"/>
            <w:szCs w:val="18"/>
            <w:u w:val="single"/>
          </w:rPr>
          <w:t>https://www.ahpra.gov.au/News/2021-03-09-vaccination-statement.aspx</w:t>
        </w:r>
      </w:hyperlink>
      <w:r>
        <w:rPr>
          <w:rFonts w:ascii="Calibri" w:eastAsia="Calibri" w:hAnsi="Calibri" w:cs="Calibri"/>
          <w:color w:val="000000"/>
          <w:sz w:val="18"/>
          <w:szCs w:val="18"/>
        </w:rPr>
        <w:t xml:space="preserve"> </w:t>
      </w:r>
    </w:p>
  </w:footnote>
  <w:footnote w:id="2">
    <w:p w14:paraId="0000008B" w14:textId="77777777" w:rsidR="002139F9" w:rsidRDefault="00000000">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18"/>
          <w:szCs w:val="18"/>
        </w:rPr>
        <w:t xml:space="preserve"> </w:t>
      </w:r>
      <w:hyperlink r:id="rId2">
        <w:r>
          <w:rPr>
            <w:rFonts w:ascii="Calibri" w:eastAsia="Calibri" w:hAnsi="Calibri" w:cs="Calibri"/>
            <w:color w:val="0563C1"/>
            <w:sz w:val="18"/>
            <w:szCs w:val="18"/>
            <w:u w:val="single"/>
          </w:rPr>
          <w:t>https://www.covidmedicalnetwork.com/coronavirus-facts/vaccine/4_5902465845702954112.pdf</w:t>
        </w:r>
      </w:hyperlink>
    </w:p>
  </w:footnote>
  <w:footnote w:id="3">
    <w:p w14:paraId="0000008C" w14:textId="77777777" w:rsidR="002139F9" w:rsidRDefault="00000000">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hyperlink r:id="rId3">
        <w:r>
          <w:rPr>
            <w:rFonts w:ascii="Calibri" w:eastAsia="Calibri" w:hAnsi="Calibri" w:cs="Calibri"/>
            <w:color w:val="0563C1"/>
            <w:sz w:val="18"/>
            <w:szCs w:val="18"/>
            <w:u w:val="single"/>
          </w:rPr>
          <w:t>https://www.mdpi.com/1467-3045/44/3/73/htm</w:t>
        </w:r>
      </w:hyperlink>
      <w:r>
        <w:rPr>
          <w:rFonts w:ascii="Calibri" w:eastAsia="Calibri" w:hAnsi="Calibri" w:cs="Calibri"/>
          <w:color w:val="000000"/>
          <w:sz w:val="18"/>
          <w:szCs w:val="18"/>
        </w:rPr>
        <w:t xml:space="preserve"> </w:t>
      </w:r>
    </w:p>
  </w:footnote>
  <w:footnote w:id="4">
    <w:p w14:paraId="0000008D" w14:textId="77777777" w:rsidR="002139F9" w:rsidRDefault="00000000">
      <w:pPr>
        <w:rPr>
          <w:color w:val="000000"/>
          <w:sz w:val="18"/>
          <w:szCs w:val="18"/>
        </w:rPr>
      </w:pPr>
      <w:r>
        <w:rPr>
          <w:rStyle w:val="FootnoteReference"/>
        </w:rPr>
        <w:footnoteRef/>
      </w:r>
      <w:r>
        <w:rPr>
          <w:sz w:val="18"/>
          <w:szCs w:val="18"/>
        </w:rPr>
        <w:t xml:space="preserve"> </w:t>
      </w:r>
      <w:hyperlink r:id="rId4">
        <w:r>
          <w:rPr>
            <w:color w:val="0563C1"/>
            <w:sz w:val="18"/>
            <w:szCs w:val="18"/>
            <w:u w:val="single"/>
          </w:rPr>
          <w:t>https://www.adrreports.eu/en/covid19_message.html</w:t>
        </w:r>
      </w:hyperlink>
      <w:r>
        <w:rPr>
          <w:color w:val="000000"/>
          <w:sz w:val="18"/>
          <w:szCs w:val="18"/>
        </w:rPr>
        <w:t xml:space="preserve"> - Pfizer, Moderna, AstraZeneca, Janssen</w:t>
      </w:r>
    </w:p>
  </w:footnote>
  <w:footnote w:id="5">
    <w:p w14:paraId="0000008E" w14:textId="77777777" w:rsidR="002139F9" w:rsidRDefault="00000000">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Individual reports refer to a single patient, where more than one adverse reaction is often included.</w:t>
      </w:r>
    </w:p>
  </w:footnote>
  <w:footnote w:id="6">
    <w:p w14:paraId="0000008F" w14:textId="77777777" w:rsidR="002139F9" w:rsidRDefault="00000000">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w:t>
      </w:r>
      <w:hyperlink r:id="rId5">
        <w:r>
          <w:rPr>
            <w:rFonts w:ascii="Calibri" w:eastAsia="Calibri" w:hAnsi="Calibri" w:cs="Calibri"/>
            <w:color w:val="0563C1"/>
            <w:sz w:val="18"/>
            <w:szCs w:val="18"/>
            <w:u w:val="single"/>
          </w:rPr>
          <w:t>https://openvaers.com/covid-data</w:t>
        </w:r>
      </w:hyperlink>
      <w:r>
        <w:rPr>
          <w:rFonts w:ascii="Calibri" w:eastAsia="Calibri" w:hAnsi="Calibri" w:cs="Calibri"/>
          <w:color w:val="000000"/>
          <w:sz w:val="18"/>
          <w:szCs w:val="18"/>
        </w:rPr>
        <w:t xml:space="preserve"> (only US/Territories) – Pfizer, Moderna, AstraZeneca</w:t>
      </w:r>
    </w:p>
  </w:footnote>
  <w:footnote w:id="7">
    <w:p w14:paraId="00000090" w14:textId="77777777" w:rsidR="002139F9" w:rsidRDefault="00000000">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Individual reports refer to a single patient, where more than one adverse reaction is often included.</w:t>
      </w:r>
    </w:p>
  </w:footnote>
  <w:footnote w:id="8">
    <w:p w14:paraId="00000091" w14:textId="77777777" w:rsidR="002139F9" w:rsidRDefault="00000000">
      <w:pPr>
        <w:spacing w:line="360" w:lineRule="auto"/>
        <w:rPr>
          <w:color w:val="000000"/>
          <w:sz w:val="18"/>
          <w:szCs w:val="18"/>
        </w:rPr>
      </w:pPr>
      <w:r>
        <w:rPr>
          <w:rStyle w:val="FootnoteReference"/>
        </w:rPr>
        <w:footnoteRef/>
      </w:r>
      <w:r>
        <w:rPr>
          <w:sz w:val="18"/>
          <w:szCs w:val="18"/>
        </w:rPr>
        <w:t xml:space="preserve"> </w:t>
      </w:r>
      <w:hyperlink r:id="rId6">
        <w:r>
          <w:rPr>
            <w:color w:val="0563C1"/>
            <w:sz w:val="18"/>
            <w:szCs w:val="18"/>
            <w:u w:val="single"/>
          </w:rPr>
          <w:t>https://www.tga.gov.au/periodic/covid-19-vaccine-weekly-safety-report-23-06-2022</w:t>
        </w:r>
      </w:hyperlink>
      <w:r>
        <w:rPr>
          <w:color w:val="000000"/>
          <w:sz w:val="18"/>
          <w:szCs w:val="18"/>
        </w:rPr>
        <w:t xml:space="preserve"> – Pfizer, Moderna, AstraZeneca</w:t>
      </w:r>
    </w:p>
  </w:footnote>
  <w:footnote w:id="9">
    <w:p w14:paraId="00000092" w14:textId="77777777" w:rsidR="002139F9" w:rsidRDefault="00000000">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Individual reports refer to a single patient, where more than one adverse reaction is often included.</w:t>
      </w:r>
    </w:p>
  </w:footnote>
  <w:footnote w:id="10">
    <w:p w14:paraId="00000093" w14:textId="77777777" w:rsidR="002139F9" w:rsidRDefault="00000000">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w:t>
      </w:r>
      <w:hyperlink r:id="rId7">
        <w:r>
          <w:rPr>
            <w:rFonts w:ascii="Calibri" w:eastAsia="Calibri" w:hAnsi="Calibri" w:cs="Calibri"/>
            <w:color w:val="0563C1"/>
            <w:sz w:val="18"/>
            <w:szCs w:val="18"/>
            <w:u w:val="single"/>
          </w:rPr>
          <w:t>https://www.gov.uk/government/publications/coronavirus-covid-19-vaccine-adverse-reactions/coronavirus-vaccine-summary-of-yellow-card-reporting</w:t>
        </w:r>
      </w:hyperlink>
      <w:r>
        <w:rPr>
          <w:rFonts w:ascii="Calibri" w:eastAsia="Calibri" w:hAnsi="Calibri" w:cs="Calibri"/>
          <w:color w:val="000000"/>
          <w:sz w:val="18"/>
          <w:szCs w:val="18"/>
        </w:rPr>
        <w:t xml:space="preserve"> – Pfizer, Moderna, AstraZeneca</w:t>
      </w:r>
    </w:p>
  </w:footnote>
  <w:footnote w:id="11">
    <w:p w14:paraId="00000094" w14:textId="77777777" w:rsidR="002139F9" w:rsidRDefault="00000000">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Individual reports refer to a single patient, where more than one adverse reaction is often included. The 458,463 reports received to 24 June 2022 reported a total of 1,495,273 various forms of adverse reaction.</w:t>
      </w:r>
    </w:p>
  </w:footnote>
  <w:footnote w:id="12">
    <w:p w14:paraId="00000095" w14:textId="77777777" w:rsidR="002139F9" w:rsidRDefault="00000000">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w:t>
      </w:r>
      <w:hyperlink r:id="rId8">
        <w:r>
          <w:rPr>
            <w:rFonts w:ascii="Calibri" w:eastAsia="Calibri" w:hAnsi="Calibri" w:cs="Calibri"/>
            <w:color w:val="0563C1"/>
            <w:sz w:val="18"/>
            <w:szCs w:val="18"/>
            <w:u w:val="single"/>
          </w:rPr>
          <w:t>https://scholar.google.com.au/scholar?hl=en&amp;as_sdt=0%2C5&amp;as_vis=1&amp;q=EMA+ADR+under-reporting&amp;btnG=</w:t>
        </w:r>
      </w:hyperlink>
      <w:r>
        <w:rPr>
          <w:rFonts w:ascii="Calibri" w:eastAsia="Calibri" w:hAnsi="Calibri" w:cs="Calibri"/>
          <w:color w:val="000000"/>
          <w:sz w:val="18"/>
          <w:szCs w:val="18"/>
        </w:rPr>
        <w:t xml:space="preserve"> </w:t>
      </w:r>
    </w:p>
    <w:p w14:paraId="00000096" w14:textId="77777777" w:rsidR="002139F9" w:rsidRDefault="00000000">
      <w:pPr>
        <w:pBdr>
          <w:top w:val="nil"/>
          <w:left w:val="nil"/>
          <w:bottom w:val="nil"/>
          <w:right w:val="nil"/>
          <w:between w:val="nil"/>
        </w:pBdr>
        <w:rPr>
          <w:rFonts w:ascii="Calibri" w:eastAsia="Calibri" w:hAnsi="Calibri" w:cs="Calibri"/>
          <w:color w:val="000000"/>
          <w:sz w:val="18"/>
          <w:szCs w:val="18"/>
        </w:rPr>
      </w:pPr>
      <w:hyperlink r:id="rId9">
        <w:r>
          <w:rPr>
            <w:rFonts w:ascii="Calibri" w:eastAsia="Calibri" w:hAnsi="Calibri" w:cs="Calibri"/>
            <w:color w:val="0563C1"/>
            <w:sz w:val="18"/>
            <w:szCs w:val="18"/>
            <w:u w:val="single"/>
          </w:rPr>
          <w:t>https://vaers.hhs.gov/data/dataguide.html</w:t>
        </w:r>
      </w:hyperlink>
      <w:r>
        <w:rPr>
          <w:rFonts w:ascii="Calibri" w:eastAsia="Calibri" w:hAnsi="Calibri" w:cs="Calibri"/>
          <w:color w:val="000000"/>
          <w:sz w:val="18"/>
          <w:szCs w:val="18"/>
        </w:rPr>
        <w:t xml:space="preserve"> </w:t>
      </w:r>
    </w:p>
  </w:footnote>
  <w:footnote w:id="13">
    <w:p w14:paraId="00000097" w14:textId="77777777" w:rsidR="002139F9" w:rsidRDefault="00000000">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w:t>
      </w:r>
      <w:hyperlink r:id="rId10">
        <w:r>
          <w:rPr>
            <w:rFonts w:ascii="Calibri" w:eastAsia="Calibri" w:hAnsi="Calibri" w:cs="Calibri"/>
            <w:color w:val="0563C1"/>
            <w:sz w:val="18"/>
            <w:szCs w:val="18"/>
            <w:u w:val="single"/>
          </w:rPr>
          <w:t>https://stevekirsch.substack.com/p/latest-vaers-estimate-388000-americans</w:t>
        </w:r>
      </w:hyperlink>
      <w:r>
        <w:rPr>
          <w:rFonts w:ascii="Calibri" w:eastAsia="Calibri" w:hAnsi="Calibri" w:cs="Calibri"/>
          <w:color w:val="000000"/>
          <w:sz w:val="18"/>
          <w:szCs w:val="18"/>
        </w:rPr>
        <w:t xml:space="preserve"> </w:t>
      </w:r>
    </w:p>
    <w:p w14:paraId="00000098" w14:textId="77777777" w:rsidR="002139F9" w:rsidRDefault="00000000">
      <w:pPr>
        <w:pBdr>
          <w:top w:val="nil"/>
          <w:left w:val="nil"/>
          <w:bottom w:val="nil"/>
          <w:right w:val="nil"/>
          <w:between w:val="nil"/>
        </w:pBdr>
        <w:rPr>
          <w:rFonts w:ascii="Calibri" w:eastAsia="Calibri" w:hAnsi="Calibri" w:cs="Calibri"/>
          <w:color w:val="000000"/>
          <w:sz w:val="20"/>
          <w:szCs w:val="20"/>
        </w:rPr>
      </w:pPr>
      <w:hyperlink r:id="rId11">
        <w:r>
          <w:rPr>
            <w:rFonts w:ascii="Calibri" w:eastAsia="Calibri" w:hAnsi="Calibri" w:cs="Calibri"/>
            <w:color w:val="0563C1"/>
            <w:sz w:val="20"/>
            <w:szCs w:val="20"/>
            <w:u w:val="single"/>
          </w:rPr>
          <w:t>https://jessicar.substack.com/p/the-true-under-reporting-factor-urf</w:t>
        </w:r>
      </w:hyperlink>
      <w:r>
        <w:rPr>
          <w:rFonts w:ascii="Calibri" w:eastAsia="Calibri" w:hAnsi="Calibri" w:cs="Calibri"/>
          <w:color w:val="000000"/>
          <w:sz w:val="20"/>
          <w:szCs w:val="20"/>
        </w:rPr>
        <w:t xml:space="preserve"> </w:t>
      </w:r>
    </w:p>
  </w:footnote>
  <w:footnote w:id="14">
    <w:p w14:paraId="00000099" w14:textId="77777777" w:rsidR="002139F9" w:rsidRDefault="00000000">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w:t>
      </w:r>
      <w:hyperlink r:id="rId12">
        <w:r>
          <w:rPr>
            <w:rFonts w:ascii="Calibri" w:eastAsia="Calibri" w:hAnsi="Calibri" w:cs="Calibri"/>
            <w:color w:val="0563C1"/>
            <w:sz w:val="18"/>
            <w:szCs w:val="18"/>
            <w:u w:val="single"/>
          </w:rPr>
          <w:t>https://worldcouncilforhealth.org/resources/covid-19-vaccine-pharmacovigilance-report/</w:t>
        </w:r>
      </w:hyperlink>
      <w:r>
        <w:rPr>
          <w:rFonts w:ascii="Calibri" w:eastAsia="Calibri" w:hAnsi="Calibri" w:cs="Calibri"/>
          <w:color w:val="000000"/>
          <w:sz w:val="18"/>
          <w:szCs w:val="18"/>
        </w:rPr>
        <w:t xml:space="preserve"> </w:t>
      </w:r>
    </w:p>
  </w:footnote>
  <w:footnote w:id="15">
    <w:p w14:paraId="0000009A" w14:textId="77777777" w:rsidR="002139F9" w:rsidRDefault="00000000">
      <w:r>
        <w:rPr>
          <w:rStyle w:val="FootnoteReference"/>
        </w:rPr>
        <w:footnoteRef/>
      </w:r>
      <w:r>
        <w:rPr>
          <w:rFonts w:ascii="Calibri" w:eastAsia="Calibri" w:hAnsi="Calibri" w:cs="Calibri"/>
          <w:sz w:val="18"/>
          <w:szCs w:val="18"/>
        </w:rPr>
        <w:t xml:space="preserve"> </w:t>
      </w:r>
      <w:r>
        <w:rPr>
          <w:rFonts w:ascii="Calibri" w:eastAsia="Calibri" w:hAnsi="Calibri" w:cs="Calibri"/>
          <w:color w:val="000000"/>
          <w:sz w:val="18"/>
          <w:szCs w:val="18"/>
        </w:rPr>
        <w:t>See DAEN website for no. of adverse events non-COVID vaccines and Covid injectables.</w:t>
      </w:r>
    </w:p>
    <w:p w14:paraId="0000009B" w14:textId="77777777" w:rsidR="002139F9" w:rsidRDefault="002139F9">
      <w:pPr>
        <w:pBdr>
          <w:top w:val="nil"/>
          <w:left w:val="nil"/>
          <w:bottom w:val="nil"/>
          <w:right w:val="nil"/>
          <w:between w:val="nil"/>
        </w:pBdr>
        <w:rPr>
          <w:rFonts w:ascii="Calibri" w:eastAsia="Calibri" w:hAnsi="Calibri" w:cs="Calibri"/>
          <w:color w:val="000000"/>
          <w:sz w:val="20"/>
          <w:szCs w:val="20"/>
        </w:rPr>
      </w:pPr>
    </w:p>
  </w:footnote>
  <w:footnote w:id="16">
    <w:p w14:paraId="0000009C" w14:textId="77777777" w:rsidR="002139F9" w:rsidRDefault="00000000">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hyperlink r:id="rId13">
        <w:r>
          <w:rPr>
            <w:rFonts w:ascii="Calibri" w:eastAsia="Calibri" w:hAnsi="Calibri" w:cs="Calibri"/>
            <w:color w:val="0563C1"/>
            <w:sz w:val="18"/>
            <w:szCs w:val="18"/>
            <w:u w:val="single"/>
          </w:rPr>
          <w:t>https://insightplus.mja.com.au/2022/27/ama-victoria-to-call-for-royal-commission-into-ahpra/</w:t>
        </w:r>
      </w:hyperlink>
      <w:r>
        <w:rPr>
          <w:rFonts w:ascii="Calibri" w:eastAsia="Calibri" w:hAnsi="Calibri" w:cs="Calibri"/>
          <w:color w:val="000000"/>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9F9"/>
    <w:rsid w:val="002139F9"/>
    <w:rsid w:val="002C2315"/>
    <w:rsid w:val="0037160D"/>
    <w:rsid w:val="003B68C8"/>
    <w:rsid w:val="004F4695"/>
    <w:rsid w:val="005612A9"/>
    <w:rsid w:val="007F1B0D"/>
    <w:rsid w:val="00894AF9"/>
    <w:rsid w:val="00B1317B"/>
    <w:rsid w:val="00B318FB"/>
    <w:rsid w:val="00B577FA"/>
    <w:rsid w:val="00C14D31"/>
    <w:rsid w:val="00C41D28"/>
    <w:rsid w:val="00C924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EC98"/>
  <w15:docId w15:val="{888ED0DC-E3E4-4B22-9403-E3BB4111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B88"/>
    <w:rPr>
      <w:lang w:eastAsia="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45CD8"/>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3C59AF"/>
    <w:rPr>
      <w:color w:val="0563C1" w:themeColor="hyperlink"/>
      <w:u w:val="single"/>
    </w:rPr>
  </w:style>
  <w:style w:type="character" w:customStyle="1" w:styleId="UnresolvedMention1">
    <w:name w:val="Unresolved Mention1"/>
    <w:basedOn w:val="DefaultParagraphFont"/>
    <w:uiPriority w:val="99"/>
    <w:semiHidden/>
    <w:unhideWhenUsed/>
    <w:rsid w:val="003C59AF"/>
    <w:rPr>
      <w:color w:val="605E5C"/>
      <w:shd w:val="clear" w:color="auto" w:fill="E1DFDD"/>
    </w:rPr>
  </w:style>
  <w:style w:type="character" w:styleId="FollowedHyperlink">
    <w:name w:val="FollowedHyperlink"/>
    <w:basedOn w:val="DefaultParagraphFont"/>
    <w:uiPriority w:val="99"/>
    <w:semiHidden/>
    <w:unhideWhenUsed/>
    <w:rsid w:val="003C59AF"/>
    <w:rPr>
      <w:color w:val="954F72" w:themeColor="followedHyperlink"/>
      <w:u w:val="single"/>
    </w:rPr>
  </w:style>
  <w:style w:type="paragraph" w:styleId="Header">
    <w:name w:val="header"/>
    <w:basedOn w:val="Normal"/>
    <w:link w:val="HeaderChar"/>
    <w:uiPriority w:val="99"/>
    <w:unhideWhenUsed/>
    <w:rsid w:val="003C59AF"/>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3C59AF"/>
  </w:style>
  <w:style w:type="paragraph" w:styleId="Footer">
    <w:name w:val="footer"/>
    <w:basedOn w:val="Normal"/>
    <w:link w:val="FooterChar"/>
    <w:uiPriority w:val="99"/>
    <w:unhideWhenUsed/>
    <w:rsid w:val="003C59AF"/>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3C59AF"/>
  </w:style>
  <w:style w:type="paragraph" w:styleId="FootnoteText">
    <w:name w:val="footnote text"/>
    <w:basedOn w:val="Normal"/>
    <w:link w:val="FootnoteTextChar"/>
    <w:uiPriority w:val="99"/>
    <w:semiHidden/>
    <w:unhideWhenUsed/>
    <w:rsid w:val="003C59A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3C59AF"/>
    <w:rPr>
      <w:sz w:val="20"/>
      <w:szCs w:val="20"/>
    </w:rPr>
  </w:style>
  <w:style w:type="character" w:styleId="FootnoteReference">
    <w:name w:val="footnote reference"/>
    <w:basedOn w:val="DefaultParagraphFont"/>
    <w:uiPriority w:val="99"/>
    <w:semiHidden/>
    <w:unhideWhenUsed/>
    <w:rsid w:val="003C59AF"/>
    <w:rPr>
      <w:vertAlign w:val="superscript"/>
    </w:rPr>
  </w:style>
  <w:style w:type="character" w:customStyle="1" w:styleId="css-901oao">
    <w:name w:val="css-901oao"/>
    <w:basedOn w:val="DefaultParagraphFont"/>
    <w:rsid w:val="00897D40"/>
  </w:style>
  <w:style w:type="character" w:customStyle="1" w:styleId="r-18u37iz">
    <w:name w:val="r-18u37iz"/>
    <w:basedOn w:val="DefaultParagraphFont"/>
    <w:rsid w:val="00897D40"/>
  </w:style>
  <w:style w:type="paragraph" w:customStyle="1" w:styleId="m7817568744925249108msolistparagraph">
    <w:name w:val="m_7817568744925249108msolistparagraph"/>
    <w:basedOn w:val="Normal"/>
    <w:rsid w:val="00935B88"/>
    <w:pPr>
      <w:spacing w:before="100" w:beforeAutospacing="1" w:after="100" w:afterAutospacing="1"/>
    </w:pPr>
  </w:style>
  <w:style w:type="character" w:styleId="PageNumber">
    <w:name w:val="page number"/>
    <w:basedOn w:val="DefaultParagraphFont"/>
    <w:uiPriority w:val="99"/>
    <w:semiHidden/>
    <w:unhideWhenUsed/>
    <w:rsid w:val="00841F85"/>
  </w:style>
  <w:style w:type="paragraph" w:styleId="Revision">
    <w:name w:val="Revision"/>
    <w:hidden/>
    <w:uiPriority w:val="99"/>
    <w:semiHidden/>
    <w:rsid w:val="00BB3D84"/>
    <w:rPr>
      <w:lang w:eastAsia="en-GB"/>
    </w:rPr>
  </w:style>
  <w:style w:type="character" w:styleId="CommentReference">
    <w:name w:val="annotation reference"/>
    <w:basedOn w:val="DefaultParagraphFont"/>
    <w:uiPriority w:val="99"/>
    <w:semiHidden/>
    <w:unhideWhenUsed/>
    <w:rsid w:val="005E5565"/>
    <w:rPr>
      <w:sz w:val="16"/>
      <w:szCs w:val="16"/>
    </w:rPr>
  </w:style>
  <w:style w:type="paragraph" w:styleId="CommentText">
    <w:name w:val="annotation text"/>
    <w:basedOn w:val="Normal"/>
    <w:link w:val="CommentTextChar"/>
    <w:uiPriority w:val="99"/>
    <w:semiHidden/>
    <w:unhideWhenUsed/>
    <w:rsid w:val="005E5565"/>
    <w:rPr>
      <w:sz w:val="20"/>
      <w:szCs w:val="20"/>
    </w:rPr>
  </w:style>
  <w:style w:type="character" w:customStyle="1" w:styleId="CommentTextChar">
    <w:name w:val="Comment Text Char"/>
    <w:basedOn w:val="DefaultParagraphFont"/>
    <w:link w:val="CommentText"/>
    <w:uiPriority w:val="99"/>
    <w:semiHidden/>
    <w:rsid w:val="005E556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E5565"/>
    <w:rPr>
      <w:b/>
      <w:bCs/>
    </w:rPr>
  </w:style>
  <w:style w:type="character" w:customStyle="1" w:styleId="CommentSubjectChar">
    <w:name w:val="Comment Subject Char"/>
    <w:basedOn w:val="CommentTextChar"/>
    <w:link w:val="CommentSubject"/>
    <w:uiPriority w:val="99"/>
    <w:semiHidden/>
    <w:rsid w:val="005E5565"/>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6221B"/>
    <w:rPr>
      <w:sz w:val="18"/>
      <w:szCs w:val="18"/>
    </w:rPr>
  </w:style>
  <w:style w:type="character" w:customStyle="1" w:styleId="BalloonTextChar">
    <w:name w:val="Balloon Text Char"/>
    <w:basedOn w:val="DefaultParagraphFont"/>
    <w:link w:val="BalloonText"/>
    <w:uiPriority w:val="99"/>
    <w:semiHidden/>
    <w:rsid w:val="0036221B"/>
    <w:rPr>
      <w:rFonts w:ascii="Times New Roman" w:eastAsia="Times New Roman" w:hAnsi="Times New Roman" w:cs="Times New Roman"/>
      <w:sz w:val="18"/>
      <w:szCs w:val="18"/>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2C2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0" Type="http://schemas.openxmlformats.org/officeDocument/2006/relationships/hyperlink" Target="https://amps.redunion.com.au/healthreformdeclaration" TargetMode="External"/><Relationship Id="rId4" Type="http://schemas.openxmlformats.org/officeDocument/2006/relationships/webSettings" Target="webSettings.xml"/><Relationship Id="rId9" Type="http://schemas.openxmlformats.org/officeDocument/2006/relationships/hyperlink" Target="https://8630368.fs1.hubspotusercontent-na1.net/hubfs/8630368/AMPS/Altman%20Report%20Final%20Version%2011-8-22.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cholar.google.com.au/scholar?hl=en&amp;as_sdt=0%2C5&amp;as_vis=1&amp;q=EMA+ADR+under-reporting&amp;btnG=" TargetMode="External"/><Relationship Id="rId13" Type="http://schemas.openxmlformats.org/officeDocument/2006/relationships/hyperlink" Target="https://insightplus.mja.com.au/2022/27/ama-victoria-to-call-for-royal-commission-into-ahpra/" TargetMode="External"/><Relationship Id="rId3" Type="http://schemas.openxmlformats.org/officeDocument/2006/relationships/hyperlink" Target="https://www.mdpi.com/1467-3045/44/3/73/htm" TargetMode="External"/><Relationship Id="rId7" Type="http://schemas.openxmlformats.org/officeDocument/2006/relationships/hyperlink" Target="https://www.gov.uk/government/publications/coronavirus-covid-19-vaccine-adverse-reactions/coronavirus-vaccine-summary-of-yellow-card-reporting" TargetMode="External"/><Relationship Id="rId12" Type="http://schemas.openxmlformats.org/officeDocument/2006/relationships/hyperlink" Target="https://worldcouncilforhealth.org/resources/covid-19-vaccine-pharmacovigilance-report/" TargetMode="External"/><Relationship Id="rId2" Type="http://schemas.openxmlformats.org/officeDocument/2006/relationships/hyperlink" Target="https://www.covidmedicalnetwork.com/coronavirus-facts/vaccine/4_5902465845702954112.pdf" TargetMode="External"/><Relationship Id="rId1" Type="http://schemas.openxmlformats.org/officeDocument/2006/relationships/hyperlink" Target="https://www.ahpra.gov.au/News/2021-03-09-vaccination-statement.aspx" TargetMode="External"/><Relationship Id="rId6" Type="http://schemas.openxmlformats.org/officeDocument/2006/relationships/hyperlink" Target="https://www.tga.gov.au/periodic/covid-19-vaccine-weekly-safety-report-23-06-2022" TargetMode="External"/><Relationship Id="rId11" Type="http://schemas.openxmlformats.org/officeDocument/2006/relationships/hyperlink" Target="https://jessicar.substack.com/p/the-true-under-reporting-factor-urf" TargetMode="External"/><Relationship Id="rId5" Type="http://schemas.openxmlformats.org/officeDocument/2006/relationships/hyperlink" Target="https://openvaers.com/covid-data" TargetMode="External"/><Relationship Id="rId10" Type="http://schemas.openxmlformats.org/officeDocument/2006/relationships/hyperlink" Target="https://stevekirsch.substack.com/p/latest-vaers-estimate-388000-americans" TargetMode="External"/><Relationship Id="rId4" Type="http://schemas.openxmlformats.org/officeDocument/2006/relationships/hyperlink" Target="https://www.adrreports.eu/en/covid19_message.html" TargetMode="External"/><Relationship Id="rId9" Type="http://schemas.openxmlformats.org/officeDocument/2006/relationships/hyperlink" Target="https://vaers.hhs.gov/data/data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BSp/wmqaI0dzq/uts8FFboIJUw==">AMUW2mX3m7evBa/9IQ0R0r7qicarcX3+WPSYhhvcEdddZLD0SvZqtf6amP4S0gVLG9ZHdP/YA3sFxiPwBqO6uZGsMkjOmhcheKYf1U0oivwG2yTeveRqU6FiNNCymJtg291F1pAb3JPS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Meryl Dorey</dc:creator>
  <cp:lastModifiedBy>Charles Kovess</cp:lastModifiedBy>
  <cp:revision>2</cp:revision>
  <dcterms:created xsi:type="dcterms:W3CDTF">2022-08-15T15:24:00Z</dcterms:created>
  <dcterms:modified xsi:type="dcterms:W3CDTF">2022-08-15T15:24:00Z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2022-08-04T01:30:37Z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11150b9c-008c-4c65-8c01-a082d375feab</vt:lpwstr>
  </property>
  <property fmtid="{D5CDD505-2E9C-101B-9397-08002B2CF9AE}" pid="8" name="MSIP_Label_0f488380-630a-4f55-a077-a19445e3f360_ContentBits">
    <vt:lpwstr>0</vt:lpwstr>
  </property>
</Properties>
</file>